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FE42" w14:textId="33F874CE" w:rsidR="00BB01FE" w:rsidRPr="00EC3CA5" w:rsidRDefault="00EC3CA5" w:rsidP="0031429C">
      <w:pPr>
        <w:pStyle w:val="Begin"/>
        <w:rPr>
          <w:sz w:val="22"/>
          <w:szCs w:val="22"/>
        </w:rPr>
      </w:pPr>
      <w:r>
        <w:rPr>
          <w:noProof/>
        </w:rPr>
        <w:drawing>
          <wp:anchor distT="0" distB="0" distL="114300" distR="114300" simplePos="0" relativeHeight="251657728" behindDoc="0" locked="0" layoutInCell="1" allowOverlap="1" wp14:anchorId="26413D64" wp14:editId="3365176C">
            <wp:simplePos x="0" y="0"/>
            <wp:positionH relativeFrom="column">
              <wp:posOffset>944245</wp:posOffset>
            </wp:positionH>
            <wp:positionV relativeFrom="page">
              <wp:posOffset>68580</wp:posOffset>
            </wp:positionV>
            <wp:extent cx="4457700" cy="792480"/>
            <wp:effectExtent l="0" t="0" r="0" b="7620"/>
            <wp:wrapTopAndBottom/>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144" w:type="dxa"/>
          <w:bottom w:w="144" w:type="dxa"/>
          <w:right w:w="144" w:type="dxa"/>
        </w:tblCellMar>
        <w:tblLook w:val="04A0" w:firstRow="1" w:lastRow="0" w:firstColumn="1" w:lastColumn="0" w:noHBand="0" w:noVBand="1"/>
      </w:tblPr>
      <w:tblGrid>
        <w:gridCol w:w="2664"/>
        <w:gridCol w:w="8024"/>
      </w:tblGrid>
      <w:tr w:rsidR="00EC3CA5" w14:paraId="04F6680F" w14:textId="77777777" w:rsidTr="00651527">
        <w:trPr>
          <w:trHeight w:val="2511"/>
        </w:trPr>
        <w:tc>
          <w:tcPr>
            <w:tcW w:w="2664" w:type="dxa"/>
            <w:shd w:val="clear" w:color="auto" w:fill="F2F2F2" w:themeFill="background1" w:themeFillShade="F2"/>
            <w:vAlign w:val="center"/>
          </w:tcPr>
          <w:p w14:paraId="230110C8" w14:textId="77777777" w:rsidR="00BF1AD7" w:rsidRDefault="00957714" w:rsidP="00957714">
            <w:pPr>
              <w:pStyle w:val="Photo"/>
            </w:pPr>
            <w:r>
              <w:rPr>
                <w:noProof/>
              </w:rPr>
              <w:drawing>
                <wp:inline distT="0" distB="0" distL="0" distR="0" wp14:anchorId="16598498" wp14:editId="03406B40">
                  <wp:extent cx="1417320" cy="188915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417320" cy="1889152"/>
                          </a:xfrm>
                          <a:prstGeom prst="rect">
                            <a:avLst/>
                          </a:prstGeom>
                        </pic:spPr>
                      </pic:pic>
                    </a:graphicData>
                  </a:graphic>
                </wp:inline>
              </w:drawing>
            </w:r>
          </w:p>
        </w:tc>
        <w:tc>
          <w:tcPr>
            <w:tcW w:w="8024" w:type="dxa"/>
            <w:shd w:val="clear" w:color="auto" w:fill="D9D9D9" w:themeFill="background1" w:themeFillShade="D9"/>
          </w:tcPr>
          <w:p w14:paraId="7AED8439" w14:textId="437AFEF9" w:rsidR="00BF1AD7" w:rsidRPr="00B27060" w:rsidRDefault="00B04F16" w:rsidP="00A07FCD">
            <w:pPr>
              <w:tabs>
                <w:tab w:val="left" w:pos="0"/>
              </w:tabs>
              <w:autoSpaceDE w:val="0"/>
              <w:autoSpaceDN w:val="0"/>
              <w:spacing w:after="120"/>
              <w:rPr>
                <w:rFonts w:ascii="Arial" w:hAnsi="Arial" w:cs="Arial"/>
                <w:sz w:val="17"/>
                <w:szCs w:val="17"/>
              </w:rPr>
            </w:pPr>
            <w:r w:rsidRPr="00B27060">
              <w:rPr>
                <w:rFonts w:ascii="Arial" w:hAnsi="Arial" w:cs="Arial"/>
                <w:color w:val="4A4A4A"/>
                <w:sz w:val="17"/>
                <w:szCs w:val="17"/>
                <w:shd w:val="clear" w:color="auto" w:fill="D9D9D9" w:themeFill="background1" w:themeFillShade="D9"/>
              </w:rPr>
              <w:t>Marc has provided project oversight and management on transportation engineering/planning</w:t>
            </w:r>
            <w:r w:rsidRPr="00B27060">
              <w:rPr>
                <w:rFonts w:ascii="Arial" w:hAnsi="Arial" w:cs="Arial"/>
                <w:sz w:val="17"/>
                <w:szCs w:val="17"/>
                <w:shd w:val="clear" w:color="auto" w:fill="D9D9D9" w:themeFill="background1" w:themeFillShade="D9"/>
              </w:rPr>
              <w:t>/research projects across the United States</w:t>
            </w:r>
            <w:r w:rsidR="0045368B">
              <w:rPr>
                <w:rFonts w:ascii="Arial" w:hAnsi="Arial" w:cs="Arial"/>
                <w:sz w:val="17"/>
                <w:szCs w:val="17"/>
                <w:shd w:val="clear" w:color="auto" w:fill="D9D9D9" w:themeFill="background1" w:themeFillShade="D9"/>
              </w:rPr>
              <w:t>,</w:t>
            </w:r>
            <w:r w:rsidRPr="00B27060">
              <w:rPr>
                <w:rFonts w:ascii="Arial" w:hAnsi="Arial" w:cs="Arial"/>
                <w:sz w:val="17"/>
                <w:szCs w:val="17"/>
                <w:shd w:val="clear" w:color="auto" w:fill="D9D9D9" w:themeFill="background1" w:themeFillShade="D9"/>
              </w:rPr>
              <w:t xml:space="preserve"> ranging from NEPA EIS/EA/CE projects, transportation system plans, campus master plans, corridor plans, bicycle and pedestrian plans, complete streets implementation plans, traffic signal designs, conceptual and final roadway and interchange designs, interchange justification reports, interchange area management plans, transportation research projects, rail crossing closure studies, transportation impact analyses for proposed commercial, mixed-use, industrial and residential developments, campus-wide/neighborhood master plans, and traffic calming plans. Additionally, Marc is well-regarded for his abilities to communicate effectively through design charities, public meetings, one-on-one stakeholder meetings, court cases, and public hearings. He served as past chairman </w:t>
            </w:r>
            <w:r w:rsidR="00FF1F16">
              <w:rPr>
                <w:rFonts w:ascii="Arial" w:hAnsi="Arial" w:cs="Arial"/>
                <w:sz w:val="17"/>
                <w:szCs w:val="17"/>
                <w:shd w:val="clear" w:color="auto" w:fill="D9D9D9" w:themeFill="background1" w:themeFillShade="D9"/>
              </w:rPr>
              <w:t>of</w:t>
            </w:r>
            <w:r w:rsidRPr="00B27060">
              <w:rPr>
                <w:rFonts w:ascii="Arial" w:hAnsi="Arial" w:cs="Arial"/>
                <w:sz w:val="17"/>
                <w:szCs w:val="17"/>
                <w:shd w:val="clear" w:color="auto" w:fill="D9D9D9" w:themeFill="background1" w:themeFillShade="D9"/>
              </w:rPr>
              <w:t xml:space="preserve"> the Transportation Research Board’s Access Management Committee, past president of the Oregon American Council of Engineering Companies (ACEC) Board, and past Oregon ITE Section President. Marc is the Director of Business Development, Board Secretary, and Vice President for Kittelson</w:t>
            </w:r>
            <w:r w:rsidR="00AF6459">
              <w:rPr>
                <w:rFonts w:ascii="Arial" w:hAnsi="Arial" w:cs="Arial"/>
                <w:sz w:val="17"/>
                <w:szCs w:val="17"/>
                <w:shd w:val="clear" w:color="auto" w:fill="D9D9D9" w:themeFill="background1" w:themeFillShade="D9"/>
              </w:rPr>
              <w:t xml:space="preserve"> &amp; Associates, Inc.</w:t>
            </w:r>
            <w:r w:rsidRPr="00B27060">
              <w:rPr>
                <w:rFonts w:ascii="Arial" w:hAnsi="Arial" w:cs="Arial"/>
                <w:sz w:val="17"/>
                <w:szCs w:val="17"/>
                <w:shd w:val="clear" w:color="auto" w:fill="D9D9D9" w:themeFill="background1" w:themeFillShade="D9"/>
              </w:rPr>
              <w:t>, and President of Kittelson, LLC.</w:t>
            </w:r>
          </w:p>
        </w:tc>
      </w:tr>
      <w:tr w:rsidR="00EC3CA5" w14:paraId="58A0CABA" w14:textId="77777777" w:rsidTr="00FD657F">
        <w:tc>
          <w:tcPr>
            <w:tcW w:w="2664" w:type="dxa"/>
          </w:tcPr>
          <w:p w14:paraId="7C02C9E8" w14:textId="77777777" w:rsidR="00D63D45" w:rsidRPr="007F7712" w:rsidRDefault="00C80355" w:rsidP="009A54E9">
            <w:pPr>
              <w:pStyle w:val="NameforResume"/>
              <w:rPr>
                <w:b/>
              </w:rPr>
            </w:pPr>
            <w:r w:rsidRPr="007F7712">
              <w:rPr>
                <w:b/>
              </w:rPr>
              <w:t xml:space="preserve">Marc </w:t>
            </w:r>
            <w:r w:rsidR="00C449D7" w:rsidRPr="007F7712">
              <w:rPr>
                <w:b/>
              </w:rPr>
              <w:t xml:space="preserve">A. </w:t>
            </w:r>
            <w:r w:rsidRPr="007F7712">
              <w:rPr>
                <w:b/>
              </w:rPr>
              <w:t>Butorac</w:t>
            </w:r>
            <w:r w:rsidR="009A54E9" w:rsidRPr="007F7712">
              <w:rPr>
                <w:b/>
              </w:rPr>
              <w:t>, PE</w:t>
            </w:r>
            <w:r w:rsidR="00A07FCD">
              <w:rPr>
                <w:b/>
              </w:rPr>
              <w:t>, PTOE, PMP</w:t>
            </w:r>
          </w:p>
          <w:p w14:paraId="1208CDE8" w14:textId="77777777" w:rsidR="00BF1AD7" w:rsidRPr="007F7712" w:rsidRDefault="00D63D45" w:rsidP="00C80355">
            <w:pPr>
              <w:pStyle w:val="JobTitle"/>
              <w:rPr>
                <w:b/>
              </w:rPr>
            </w:pPr>
            <w:r w:rsidRPr="007F7712">
              <w:rPr>
                <w:b/>
              </w:rPr>
              <w:t>Senior Principal Engineer</w:t>
            </w:r>
            <w:r w:rsidR="00BB417B" w:rsidRPr="007F7712">
              <w:rPr>
                <w:b/>
              </w:rPr>
              <w:t xml:space="preserve"> </w:t>
            </w:r>
          </w:p>
          <w:p w14:paraId="76D0043C" w14:textId="77777777" w:rsidR="00C80355" w:rsidRDefault="00C80355" w:rsidP="00C80355">
            <w:pPr>
              <w:pStyle w:val="SubHeader"/>
            </w:pPr>
            <w:r>
              <w:t>Education</w:t>
            </w:r>
          </w:p>
          <w:p w14:paraId="253F7287" w14:textId="77777777" w:rsidR="009A3D1C" w:rsidRDefault="009A3D1C" w:rsidP="009A3D1C">
            <w:pPr>
              <w:pStyle w:val="SidebarText"/>
            </w:pPr>
            <w:r>
              <w:t>Bachelor of Science, University of Idaho, 1993</w:t>
            </w:r>
          </w:p>
          <w:p w14:paraId="0E195AEB" w14:textId="77777777" w:rsidR="009A3D1C" w:rsidRPr="00C80355" w:rsidRDefault="009A3D1C" w:rsidP="009A3D1C">
            <w:pPr>
              <w:pStyle w:val="SidebarText"/>
            </w:pPr>
            <w:r>
              <w:t>Master of Science, Texas A&amp;M University, 1997</w:t>
            </w:r>
          </w:p>
          <w:p w14:paraId="7DC1B3D9" w14:textId="77777777" w:rsidR="00C80355" w:rsidRDefault="00C80355" w:rsidP="00C80355">
            <w:pPr>
              <w:pStyle w:val="SubHeader"/>
            </w:pPr>
            <w:r>
              <w:t>Years of Experience</w:t>
            </w:r>
          </w:p>
          <w:p w14:paraId="0B1D7ACE" w14:textId="13FF3A6D" w:rsidR="00C80355" w:rsidRDefault="00C80355" w:rsidP="00C80355">
            <w:pPr>
              <w:pStyle w:val="SidebarText"/>
            </w:pPr>
            <w:r>
              <w:t>2</w:t>
            </w:r>
            <w:r w:rsidR="00FF1F16">
              <w:t>9</w:t>
            </w:r>
          </w:p>
          <w:p w14:paraId="6A0B678D" w14:textId="52DBDC16" w:rsidR="00AF22C6" w:rsidRDefault="00AF22C6" w:rsidP="00AF22C6">
            <w:pPr>
              <w:pStyle w:val="SubHeader"/>
            </w:pPr>
            <w:r>
              <w:t>Licenses</w:t>
            </w:r>
          </w:p>
          <w:p w14:paraId="52907053" w14:textId="5B88138C" w:rsidR="00AF22C6" w:rsidRPr="00257D7B" w:rsidRDefault="00AF22C6" w:rsidP="00257D7B">
            <w:pPr>
              <w:pStyle w:val="SidebarText"/>
              <w:spacing w:after="0" w:line="240" w:lineRule="auto"/>
              <w:rPr>
                <w:sz w:val="4"/>
                <w:szCs w:val="4"/>
              </w:rPr>
            </w:pPr>
          </w:p>
          <w:p w14:paraId="74E0E1F5" w14:textId="77777777" w:rsidR="00A07FCD" w:rsidRDefault="00A07FCD" w:rsidP="00A07FCD">
            <w:pPr>
              <w:pStyle w:val="SubHeader"/>
              <w:spacing w:after="240" w:line="240" w:lineRule="auto"/>
              <w:rPr>
                <w:color w:val="auto"/>
              </w:rPr>
            </w:pPr>
            <w:r w:rsidRPr="00A07FCD">
              <w:rPr>
                <w:caps w:val="0"/>
                <w:color w:val="auto"/>
                <w:sz w:val="16"/>
                <w:szCs w:val="16"/>
              </w:rPr>
              <w:t>Professional Engineer</w:t>
            </w:r>
            <w:r w:rsidR="00A50DC7" w:rsidRPr="00A07FCD">
              <w:rPr>
                <w:color w:val="auto"/>
                <w:sz w:val="16"/>
                <w:szCs w:val="16"/>
              </w:rPr>
              <w:t>:</w:t>
            </w:r>
            <w:r w:rsidR="006D5161" w:rsidRPr="00A07FCD">
              <w:rPr>
                <w:color w:val="auto"/>
                <w:sz w:val="16"/>
                <w:szCs w:val="16"/>
              </w:rPr>
              <w:t xml:space="preserve"> </w:t>
            </w:r>
            <w:r w:rsidRPr="00A07FCD">
              <w:rPr>
                <w:color w:val="auto"/>
                <w:sz w:val="16"/>
                <w:szCs w:val="16"/>
              </w:rPr>
              <w:t xml:space="preserve">AZ, FL, ID, MD, MT, NM, OR, </w:t>
            </w:r>
            <w:r>
              <w:rPr>
                <w:color w:val="auto"/>
                <w:sz w:val="16"/>
                <w:szCs w:val="16"/>
              </w:rPr>
              <w:t xml:space="preserve">TX, </w:t>
            </w:r>
            <w:r w:rsidRPr="00A07FCD">
              <w:rPr>
                <w:color w:val="auto"/>
                <w:sz w:val="16"/>
                <w:szCs w:val="16"/>
              </w:rPr>
              <w:t>WA</w:t>
            </w:r>
            <w:r w:rsidRPr="00A07FCD">
              <w:rPr>
                <w:color w:val="auto"/>
              </w:rPr>
              <w:t xml:space="preserve"> </w:t>
            </w:r>
          </w:p>
          <w:p w14:paraId="72495B07" w14:textId="77777777" w:rsidR="00C80355" w:rsidRDefault="00C80355" w:rsidP="00AF22C6">
            <w:pPr>
              <w:pStyle w:val="SubHeader"/>
              <w:spacing w:line="240" w:lineRule="auto"/>
            </w:pPr>
            <w:r>
              <w:t>Affiliations</w:t>
            </w:r>
          </w:p>
          <w:p w14:paraId="03361275" w14:textId="0D0A8B9D" w:rsidR="00487C68" w:rsidRDefault="00957714" w:rsidP="00954067">
            <w:pPr>
              <w:pStyle w:val="SidebarText"/>
            </w:pPr>
            <w:r>
              <w:t xml:space="preserve">American Council of Engineering Companies Oregon, </w:t>
            </w:r>
            <w:r w:rsidR="00A07FCD">
              <w:t xml:space="preserve">National </w:t>
            </w:r>
            <w:r w:rsidR="00FF1F16">
              <w:t>Director-Elect</w:t>
            </w:r>
            <w:r w:rsidR="00A07FCD">
              <w:t xml:space="preserve">, </w:t>
            </w:r>
            <w:r>
              <w:t>Past President, ODOT Liaison Steering Committee Past Co-Chair</w:t>
            </w:r>
          </w:p>
          <w:p w14:paraId="4C6ED02B" w14:textId="04CED552" w:rsidR="00487C68" w:rsidRDefault="00957714" w:rsidP="00954067">
            <w:pPr>
              <w:pStyle w:val="SidebarText"/>
            </w:pPr>
            <w:r>
              <w:t xml:space="preserve">Institute of Transportation Engineers, </w:t>
            </w:r>
            <w:r w:rsidR="00564700">
              <w:t xml:space="preserve">Fellow, </w:t>
            </w:r>
            <w:r>
              <w:t xml:space="preserve">Member, Past President (Oregon </w:t>
            </w:r>
            <w:r w:rsidR="005B4AC2">
              <w:t>Section</w:t>
            </w:r>
            <w:r>
              <w:t>)</w:t>
            </w:r>
          </w:p>
          <w:p w14:paraId="5234EE45" w14:textId="58B01579" w:rsidR="00487C68" w:rsidRDefault="00A07FCD" w:rsidP="00954067">
            <w:pPr>
              <w:pStyle w:val="SidebarText"/>
            </w:pPr>
            <w:r>
              <w:t>TRB Access Management Committee</w:t>
            </w:r>
            <w:r w:rsidR="00957714">
              <w:t xml:space="preserve"> </w:t>
            </w:r>
            <w:r w:rsidR="00B71F5F">
              <w:t xml:space="preserve">Past </w:t>
            </w:r>
            <w:r w:rsidR="00957714">
              <w:t>Chairman</w:t>
            </w:r>
            <w:r>
              <w:t>, Past Manual Subcommittee Chair</w:t>
            </w:r>
          </w:p>
          <w:p w14:paraId="53A5A615" w14:textId="77777777" w:rsidR="00487C68" w:rsidRDefault="00957714" w:rsidP="00954067">
            <w:pPr>
              <w:pStyle w:val="SidebarText"/>
            </w:pPr>
            <w:r>
              <w:t>University of Idaho Civil Engineering Department Advisory Board, Former President</w:t>
            </w:r>
          </w:p>
          <w:p w14:paraId="14E14561" w14:textId="77777777" w:rsidR="00487C68" w:rsidRDefault="00957714" w:rsidP="00954067">
            <w:pPr>
              <w:pStyle w:val="SidebarText"/>
            </w:pPr>
            <w:r>
              <w:t>Women's Transportation Seminar, Member</w:t>
            </w:r>
          </w:p>
          <w:p w14:paraId="212F543C" w14:textId="77777777" w:rsidR="00E63EEA" w:rsidRPr="00BE72C7" w:rsidRDefault="00A07FCD" w:rsidP="00BE72C7">
            <w:pPr>
              <w:spacing w:line="240" w:lineRule="auto"/>
              <w:rPr>
                <w:rFonts w:asciiTheme="minorHAnsi" w:hAnsiTheme="minorHAnsi"/>
                <w:sz w:val="16"/>
                <w:szCs w:val="16"/>
              </w:rPr>
            </w:pPr>
            <w:r w:rsidRPr="00A07FCD">
              <w:rPr>
                <w:rFonts w:asciiTheme="minorHAnsi" w:hAnsiTheme="minorHAnsi"/>
                <w:sz w:val="16"/>
                <w:szCs w:val="16"/>
              </w:rPr>
              <w:t>Society of Marketing Professional Services</w:t>
            </w:r>
            <w:r>
              <w:rPr>
                <w:rFonts w:asciiTheme="minorHAnsi" w:hAnsiTheme="minorHAnsi"/>
                <w:sz w:val="16"/>
                <w:szCs w:val="16"/>
              </w:rPr>
              <w:t xml:space="preserve"> (SMPS), Member</w:t>
            </w:r>
            <w:r w:rsidRPr="00A07FCD">
              <w:rPr>
                <w:rFonts w:asciiTheme="minorHAnsi" w:hAnsiTheme="minorHAnsi"/>
                <w:sz w:val="16"/>
                <w:szCs w:val="16"/>
              </w:rPr>
              <w:t xml:space="preserve"> </w:t>
            </w:r>
          </w:p>
        </w:tc>
        <w:tc>
          <w:tcPr>
            <w:tcW w:w="8024" w:type="dxa"/>
          </w:tcPr>
          <w:p w14:paraId="2FBF4BE7" w14:textId="77777777" w:rsidR="00A50DC7" w:rsidRDefault="0061616B" w:rsidP="00A50DC7">
            <w:pPr>
              <w:pStyle w:val="SubHeader"/>
            </w:pPr>
            <w:r>
              <w:t xml:space="preserve">Transportation </w:t>
            </w:r>
            <w:r w:rsidR="001B574E">
              <w:t xml:space="preserve">SYSTEM </w:t>
            </w:r>
            <w:r>
              <w:t xml:space="preserve">Planning </w:t>
            </w:r>
          </w:p>
          <w:p w14:paraId="58CFA90B" w14:textId="25FFA66C" w:rsidR="00EC3E37" w:rsidRDefault="00EC3E37" w:rsidP="00EC3E37">
            <w:r>
              <w:t xml:space="preserve">Mr. Butorac </w:t>
            </w:r>
            <w:r w:rsidRPr="00605EC6">
              <w:t xml:space="preserve">has a solid transportation planning background that has been effectively demonstrated through comprehensive plan/transportation system plans prepared for the Cities of Ashland, Boardman, Florence, Heppner, Ione, </w:t>
            </w:r>
            <w:proofErr w:type="spellStart"/>
            <w:r w:rsidRPr="00605EC6">
              <w:t>Irrigon</w:t>
            </w:r>
            <w:proofErr w:type="spellEnd"/>
            <w:r w:rsidRPr="00605EC6">
              <w:t>, Klamath Falls, Lexington, Madras, Monmouth,</w:t>
            </w:r>
            <w:r w:rsidR="00B23786">
              <w:t xml:space="preserve"> Oakridge</w:t>
            </w:r>
            <w:r w:rsidR="00347263">
              <w:t xml:space="preserve">, </w:t>
            </w:r>
            <w:r w:rsidR="006428BE">
              <w:t xml:space="preserve">and West Linn, </w:t>
            </w:r>
            <w:r w:rsidRPr="00605EC6">
              <w:t>OR; Clackamas,</w:t>
            </w:r>
            <w:r>
              <w:t xml:space="preserve"> Crook,</w:t>
            </w:r>
            <w:r w:rsidRPr="00605EC6">
              <w:t xml:space="preserve"> Gilliam,</w:t>
            </w:r>
            <w:r w:rsidR="00347263">
              <w:t xml:space="preserve"> Klamath,</w:t>
            </w:r>
            <w:r w:rsidRPr="00605EC6">
              <w:t xml:space="preserve"> Sherman, and Wasco Counties in the State of Oregon; and the City of Silsbee, Texas. As part of his transportation system planning work, </w:t>
            </w:r>
            <w:r>
              <w:t>Mr. Butorac</w:t>
            </w:r>
            <w:r w:rsidRPr="00605EC6">
              <w:t xml:space="preserve"> developed alternative and non-traditional roadway standards, access management ordinances and plans, development ordinances, and transportation system development charges.</w:t>
            </w:r>
          </w:p>
          <w:p w14:paraId="3194F9D1" w14:textId="77777777" w:rsidR="0061616B" w:rsidRDefault="00EC3E37" w:rsidP="0061616B">
            <w:pPr>
              <w:pStyle w:val="SubHeader"/>
            </w:pPr>
            <w:r>
              <w:t>corridor planning and access management</w:t>
            </w:r>
          </w:p>
          <w:p w14:paraId="3B409334" w14:textId="718ABC00" w:rsidR="00EC3E37" w:rsidRDefault="00EC3E37" w:rsidP="00EC3E37">
            <w:r>
              <w:t>Mr. Butorac</w:t>
            </w:r>
            <w:r w:rsidRPr="005B7192">
              <w:t xml:space="preserve">’s experience in transportation planning and public involvement proved instrumental in the success of several highway corridor and access management plans. These plans include the </w:t>
            </w:r>
            <w:r w:rsidR="0045368B">
              <w:t>award-winning</w:t>
            </w:r>
            <w:r w:rsidR="00C15CFF">
              <w:t xml:space="preserve"> </w:t>
            </w:r>
            <w:r w:rsidRPr="005B7192">
              <w:t xml:space="preserve">SE 172nd/190th Corridor Plan, </w:t>
            </w:r>
            <w:r w:rsidR="004546B7">
              <w:t xml:space="preserve">I-5 Medford Viaduct, </w:t>
            </w:r>
            <w:r w:rsidR="00921AB2">
              <w:t xml:space="preserve">US97 Terrebonne Refinement Plan, </w:t>
            </w:r>
            <w:r w:rsidR="00553947">
              <w:t xml:space="preserve">Sunrise Corridor Update Plan, </w:t>
            </w:r>
            <w:r w:rsidRPr="005B7192">
              <w:t>OR 126 Corridor Refinement Plan, OR 201 Corridor</w:t>
            </w:r>
            <w:r w:rsidR="005B4AC2">
              <w:t xml:space="preserve"> Refinement</w:t>
            </w:r>
            <w:r w:rsidRPr="005B7192">
              <w:t xml:space="preserve"> Plan, US 395 Corridor Refinement Plan, US 730 Corridor Refinement Plan, Scappoose Rail Crossing Corridor Study, Biggs Junction Refinement Plan, Boones Ferry Corridor Study, Molalla Avenue Boulevard and Bikeway Improvement Plan, </w:t>
            </w:r>
            <w:r w:rsidR="009910A3">
              <w:t xml:space="preserve">and </w:t>
            </w:r>
            <w:r w:rsidRPr="005B7192">
              <w:t xml:space="preserve">Highway 18 Corridor Study. While managing the Hermiston-Umatilla Highway 395 Corridor Land Use/Transportation Plan, </w:t>
            </w:r>
            <w:r>
              <w:t>Mr. Butorac</w:t>
            </w:r>
            <w:r w:rsidRPr="005B7192">
              <w:t xml:space="preserve"> played an integral role in the development of one of the first policy-driven access management plans in the State of Oregon.</w:t>
            </w:r>
          </w:p>
          <w:p w14:paraId="375C0849" w14:textId="31701A17" w:rsidR="00EC3E37" w:rsidRDefault="00EC3E37" w:rsidP="00EC3E37">
            <w:pPr>
              <w:pStyle w:val="SubHeader"/>
            </w:pPr>
            <w:r>
              <w:t xml:space="preserve">Private </w:t>
            </w:r>
            <w:r w:rsidR="0045368B">
              <w:t>development-related</w:t>
            </w:r>
            <w:r>
              <w:t xml:space="preserve"> transportation impact studies</w:t>
            </w:r>
          </w:p>
          <w:p w14:paraId="60B69C8E" w14:textId="25EA6523" w:rsidR="00D43BA5" w:rsidRPr="00380BEF" w:rsidRDefault="0045368B" w:rsidP="00BE72C7">
            <w:r w:rsidRPr="0045368B">
              <w:t xml:space="preserve">Mr. Butorac has managed and/or overseen over 500 successful public and private development projects for commercial, industrial, institutional, and residential developers in over a dozen states. These projects include developing, reviewing, obtaining approvals, and designing parking lot facilities and access points to adjacent roadway facilities. Mr. Butorac regularly reviews and designs commercial and industrial parking lot facilities and conducts parking lot safety audits for existing facilities. In addition to developing appropriate mitigation measures and evaluating site access/internal circulation issues, Mr. Butorac is </w:t>
            </w:r>
            <w:r w:rsidR="004574BC" w:rsidRPr="0045368B">
              <w:t>well-versed in presenting to planning commissions, city councils, and neighborhood groups.</w:t>
            </w:r>
          </w:p>
        </w:tc>
      </w:tr>
    </w:tbl>
    <w:p w14:paraId="2B8E24ED" w14:textId="394695C7" w:rsidR="003C4179" w:rsidRDefault="003C4179" w:rsidP="003C4179">
      <w:pPr>
        <w:pStyle w:val="SubHeader"/>
      </w:pPr>
      <w:r>
        <w:lastRenderedPageBreak/>
        <w:t>parking lot review and Design</w:t>
      </w:r>
    </w:p>
    <w:p w14:paraId="072B6C65" w14:textId="7B6184B1" w:rsidR="003C4179" w:rsidRDefault="003C4179" w:rsidP="00D43BA5">
      <w:pPr>
        <w:tabs>
          <w:tab w:val="left" w:pos="0"/>
        </w:tabs>
        <w:autoSpaceDE w:val="0"/>
        <w:autoSpaceDN w:val="0"/>
      </w:pPr>
      <w:r>
        <w:t xml:space="preserve">Mr. Butorac </w:t>
      </w:r>
      <w:r w:rsidR="00C15CFF">
        <w:t xml:space="preserve">regularly </w:t>
      </w:r>
      <w:r>
        <w:t xml:space="preserve">reviews and designs commercial, </w:t>
      </w:r>
      <w:r w:rsidR="00630B6E">
        <w:t xml:space="preserve">office, institutional, </w:t>
      </w:r>
      <w:r>
        <w:t>residential, and industrial parking lot facilities and conducts parking lot safety audits for existing parking facilities.  In addition, he serves as an expert witness for condemnation cases involving associated parking lot</w:t>
      </w:r>
      <w:r w:rsidR="00630B6E">
        <w:t>/garage</w:t>
      </w:r>
      <w:r>
        <w:t xml:space="preserve"> circulation</w:t>
      </w:r>
      <w:r w:rsidR="00630B6E">
        <w:t>, traffic control (signing &amp; striping),</w:t>
      </w:r>
      <w:r>
        <w:t xml:space="preserve"> </w:t>
      </w:r>
      <w:r w:rsidR="00630B6E">
        <w:t xml:space="preserve">wayfinding, </w:t>
      </w:r>
      <w:r>
        <w:t xml:space="preserve">and supply impacts.  Mr. Butorac has developed the </w:t>
      </w:r>
      <w:r w:rsidR="00C15CFF">
        <w:t>“</w:t>
      </w:r>
      <w:r w:rsidRPr="001B1B81">
        <w:rPr>
          <w:i/>
        </w:rPr>
        <w:t>Four Color</w:t>
      </w:r>
      <w:r w:rsidR="00C15CFF">
        <w:rPr>
          <w:i/>
        </w:rPr>
        <w:t>”</w:t>
      </w:r>
      <w:r>
        <w:t xml:space="preserve"> parking lot analysis and evaluation procedures used within Kittelson &amp; Associates</w:t>
      </w:r>
      <w:r w:rsidR="0045368B">
        <w:t>. He regularly presents</w:t>
      </w:r>
      <w:r>
        <w:t xml:space="preserve"> on parking design and circulation, including presentations to architects and civil engineer</w:t>
      </w:r>
      <w:r w:rsidR="0045368B">
        <w:t xml:space="preserve">ing </w:t>
      </w:r>
      <w:r>
        <w:t xml:space="preserve">firms and at the Northwest Parking Association (NWPA) and ITE </w:t>
      </w:r>
      <w:r w:rsidR="00C15CFF">
        <w:t>Intermountain</w:t>
      </w:r>
      <w:r>
        <w:t xml:space="preserve"> Conferences.</w:t>
      </w:r>
    </w:p>
    <w:p w14:paraId="27EA1F6E" w14:textId="77777777" w:rsidR="00D43BA5" w:rsidRDefault="00D43BA5" w:rsidP="00D43BA5">
      <w:pPr>
        <w:pStyle w:val="SubHeader"/>
      </w:pPr>
      <w:r>
        <w:t>Multimodal Operations &amp; Corridor Planning</w:t>
      </w:r>
    </w:p>
    <w:p w14:paraId="5BC49667" w14:textId="3806A8A1" w:rsidR="00D43BA5" w:rsidRPr="00BE72C7" w:rsidRDefault="00BE72C7" w:rsidP="00BE72C7">
      <w:r>
        <w:t xml:space="preserve">Mr. Butorac has evaluated multimodal needs in over 16 Transportation System Plans (TSPs) and five specific active transportation plans.  In addition, he has developed specific multimodal corridor plans </w:t>
      </w:r>
      <w:r w:rsidR="00C15CFF">
        <w:t xml:space="preserve">and was </w:t>
      </w:r>
      <w:r>
        <w:t xml:space="preserve">instrumental in the development of the </w:t>
      </w:r>
      <w:r>
        <w:rPr>
          <w:i/>
        </w:rPr>
        <w:t>OR 43</w:t>
      </w:r>
      <w:r>
        <w:t xml:space="preserve"> corridor design that includes fully protected “Dutch-style” signalized intersection</w:t>
      </w:r>
      <w:r w:rsidR="00C15CFF">
        <w:t>s</w:t>
      </w:r>
      <w:r>
        <w:t xml:space="preserve"> and </w:t>
      </w:r>
      <w:r>
        <w:rPr>
          <w:i/>
        </w:rPr>
        <w:t>Oregon Avenue</w:t>
      </w:r>
      <w:r w:rsidR="0045368B">
        <w:rPr>
          <w:i/>
        </w:rPr>
        <w:t>,</w:t>
      </w:r>
      <w:r>
        <w:t xml:space="preserve"> which includes two-way protected bikeways spurred through a public </w:t>
      </w:r>
      <w:r w:rsidR="0045368B">
        <w:t>health-driven</w:t>
      </w:r>
      <w:r>
        <w:t xml:space="preserve"> process.  Through this work, Marc understands and actively plans, designs, and assesses the operational and safety tradeoffs of various modes in developing </w:t>
      </w:r>
      <w:r w:rsidR="0045368B">
        <w:t>ADA-compliant</w:t>
      </w:r>
      <w:r>
        <w:t xml:space="preserve"> projects which can be effectively constructed and maintained.  Marc is currently leading </w:t>
      </w:r>
      <w:r>
        <w:rPr>
          <w:i/>
        </w:rPr>
        <w:t>NCHRP 03-120 - Assessing Interactions Between Access Management Treatments and Multimodal Users</w:t>
      </w:r>
      <w:r>
        <w:t xml:space="preserve"> and </w:t>
      </w:r>
      <w:r w:rsidR="0045368B">
        <w:t xml:space="preserve">is </w:t>
      </w:r>
      <w:r>
        <w:t xml:space="preserve">part of KAI’s team developing </w:t>
      </w:r>
      <w:r>
        <w:rPr>
          <w:i/>
        </w:rPr>
        <w:t>ODOT‘s Urban Design Guidelines</w:t>
      </w:r>
      <w:r>
        <w:t xml:space="preserve"> and </w:t>
      </w:r>
      <w:r>
        <w:rPr>
          <w:i/>
        </w:rPr>
        <w:t>Metro’s Livable Street Design Guidelines.</w:t>
      </w:r>
    </w:p>
    <w:p w14:paraId="1FCAC649" w14:textId="77777777" w:rsidR="00D43BA5" w:rsidRDefault="000E48DC" w:rsidP="00D43BA5">
      <w:pPr>
        <w:pStyle w:val="SubHeader"/>
      </w:pPr>
      <w:r>
        <w:t xml:space="preserve">Interchange justification reports </w:t>
      </w:r>
      <w:r w:rsidR="00C15CFF">
        <w:t xml:space="preserve">(IJR) </w:t>
      </w:r>
      <w:r>
        <w:t>and area Management Plans</w:t>
      </w:r>
      <w:r w:rsidR="00C15CFF">
        <w:t xml:space="preserve"> (IAMP)</w:t>
      </w:r>
    </w:p>
    <w:p w14:paraId="4125A254" w14:textId="77777777" w:rsidR="000E48DC" w:rsidRPr="005B7192" w:rsidRDefault="000E48DC" w:rsidP="000E48DC">
      <w:r>
        <w:t>Mr. Butorac</w:t>
      </w:r>
      <w:r w:rsidRPr="005B7192">
        <w:t xml:space="preserve"> managed and participated in numerous </w:t>
      </w:r>
      <w:r w:rsidR="00EC3E37">
        <w:t xml:space="preserve">IJRs and </w:t>
      </w:r>
      <w:r w:rsidRPr="005B7192">
        <w:t>IAMPs, including the North Ontario/I-84, Glencoe Road/US 26, East Newberg/99W, Oregon 219 (Newberg)/99W, US 730/I-82, US 395/I-84, Dundee/99W, OR99W/OR18 (Dayton), OR18/99W (McMinnville), Springwater/US26 (Gresham), I-84/Chenoweth, Springwater/US 26, US 730/I-84, Laurel Lane/I-84, and the Barnhart Road/I-84 IAMPs</w:t>
      </w:r>
      <w:r w:rsidR="00EC3E37">
        <w:t xml:space="preserve"> in Oregon; and IJRs in Alaska (Richardson Highway MP 351), Montana (I-90/Johnson Lane), </w:t>
      </w:r>
      <w:r w:rsidR="00C15CFF">
        <w:t xml:space="preserve">and </w:t>
      </w:r>
      <w:r w:rsidR="00EC3E37">
        <w:t xml:space="preserve">Washington </w:t>
      </w:r>
      <w:r w:rsidR="00C15CFF">
        <w:t xml:space="preserve">State </w:t>
      </w:r>
      <w:r w:rsidR="00EC3E37">
        <w:t>(I-5/NW La Center Road)</w:t>
      </w:r>
      <w:r w:rsidRPr="005B7192">
        <w:t xml:space="preserve">. </w:t>
      </w:r>
      <w:r>
        <w:t>Mr. Butorac</w:t>
      </w:r>
      <w:r w:rsidRPr="005B7192">
        <w:t xml:space="preserve"> brings an educational approach to the IAMP</w:t>
      </w:r>
      <w:r w:rsidR="00EC3E37">
        <w:t>/IJR</w:t>
      </w:r>
      <w:r w:rsidRPr="005B7192">
        <w:t xml:space="preserve"> public involvement process that allows communities to better understand the need for certain interchange forms, local circulation systems, and access management within the vicinity of interchanges. He couples this experience with his role in authoring NCHRP Synthesis 332: Access Management on Crossroads in the Vicinity of Interchanges. </w:t>
      </w:r>
    </w:p>
    <w:p w14:paraId="5BD1591D" w14:textId="77777777" w:rsidR="00D43BA5" w:rsidRPr="0061616B" w:rsidRDefault="00D43BA5" w:rsidP="00D43BA5">
      <w:pPr>
        <w:pStyle w:val="SubHeader"/>
      </w:pPr>
      <w:r>
        <w:t>National Research</w:t>
      </w:r>
    </w:p>
    <w:p w14:paraId="09549D42" w14:textId="0FE9DF3F" w:rsidR="00A07FCD" w:rsidRDefault="00A07FCD" w:rsidP="00A07FCD">
      <w:r w:rsidRPr="00605EC6">
        <w:t xml:space="preserve">In addition to facilitating transportation planning and traffic engineering services, </w:t>
      </w:r>
      <w:r>
        <w:t>Mr. Butorac</w:t>
      </w:r>
      <w:r w:rsidRPr="00605EC6">
        <w:t xml:space="preserve"> served as principal investigator and participated in numerous research projects, including </w:t>
      </w:r>
      <w:r w:rsidR="004546B7">
        <w:t>National Cooperative Highway Research Program (</w:t>
      </w:r>
      <w:r w:rsidRPr="00605EC6">
        <w:t>NCHRP</w:t>
      </w:r>
      <w:r w:rsidR="004546B7">
        <w:t>)</w:t>
      </w:r>
      <w:r w:rsidRPr="00605EC6">
        <w:t xml:space="preserve"> Synthesis 332: </w:t>
      </w:r>
      <w:r w:rsidRPr="00605EC6">
        <w:rPr>
          <w:i/>
        </w:rPr>
        <w:t>Access Management on Crossroads in the Vicinity of Interchanges</w:t>
      </w:r>
      <w:r w:rsidRPr="00605EC6">
        <w:t xml:space="preserve">; NCHRP Synthesis 351: </w:t>
      </w:r>
      <w:r w:rsidRPr="00605EC6">
        <w:rPr>
          <w:i/>
        </w:rPr>
        <w:t>Access Right, Geometric, and Operational Guidelines for Multiple Lane Ramp Meters</w:t>
      </w:r>
      <w:r w:rsidRPr="00605EC6">
        <w:t xml:space="preserve">; and </w:t>
      </w:r>
      <w:r w:rsidR="004546B7">
        <w:t>N</w:t>
      </w:r>
      <w:r w:rsidRPr="00605EC6">
        <w:t>CHRP 3-99</w:t>
      </w:r>
      <w:r w:rsidR="004546B7">
        <w:t xml:space="preserve">: </w:t>
      </w:r>
      <w:r w:rsidRPr="00605EC6">
        <w:rPr>
          <w:i/>
        </w:rPr>
        <w:t xml:space="preserve">Access Management </w:t>
      </w:r>
      <w:r w:rsidR="004546B7">
        <w:rPr>
          <w:i/>
        </w:rPr>
        <w:t xml:space="preserve">Application </w:t>
      </w:r>
      <w:r w:rsidRPr="00605EC6">
        <w:rPr>
          <w:i/>
        </w:rPr>
        <w:t>Guide</w:t>
      </w:r>
      <w:r w:rsidR="004546B7">
        <w:rPr>
          <w:i/>
        </w:rPr>
        <w:t xml:space="preserve"> (AMAG)</w:t>
      </w:r>
      <w:r w:rsidRPr="00605EC6">
        <w:rPr>
          <w:i/>
        </w:rPr>
        <w:t>.</w:t>
      </w:r>
      <w:r w:rsidRPr="00605EC6">
        <w:t xml:space="preserve"> </w:t>
      </w:r>
      <w:r>
        <w:t>In addition, Mr. Butorac is currently serving as the principal investigator for NCHRP 03-120</w:t>
      </w:r>
      <w:r w:rsidR="0045368B">
        <w:t>,</w:t>
      </w:r>
      <w:r>
        <w:t xml:space="preserve"> </w:t>
      </w:r>
      <w:r>
        <w:rPr>
          <w:i/>
          <w:noProof/>
        </w:rPr>
        <w:t>Assessing Interactions Between Access Management Treatments and Multimodal Users</w:t>
      </w:r>
      <w:r>
        <w:t xml:space="preserve">. </w:t>
      </w:r>
      <w:r w:rsidRPr="00605EC6">
        <w:t xml:space="preserve">He also played a pivotal role in developing the dual-lane ramp meter design strategies for the State of Texas through </w:t>
      </w:r>
      <w:r w:rsidR="0045368B">
        <w:t xml:space="preserve">the </w:t>
      </w:r>
      <w:r w:rsidRPr="00605EC6">
        <w:t xml:space="preserve">development of Research Report 1295-2. In addition to his federal and </w:t>
      </w:r>
      <w:r w:rsidR="0045368B">
        <w:t>state-sponsored</w:t>
      </w:r>
      <w:r w:rsidRPr="00605EC6">
        <w:t xml:space="preserve"> research, </w:t>
      </w:r>
      <w:r>
        <w:t>Mr. Butorac</w:t>
      </w:r>
      <w:r w:rsidRPr="00605EC6">
        <w:t xml:space="preserve"> has been involved in several private sector-sponsored research projects involving site design, trip generation, and parking generation. This experience, combined with his research at the University of Idaho's National Transportation Laboratory and the Texas Transportation Institute, makes </w:t>
      </w:r>
      <w:r>
        <w:t>Mr. Butorac</w:t>
      </w:r>
      <w:r w:rsidRPr="00605EC6">
        <w:t xml:space="preserve"> a versatile </w:t>
      </w:r>
      <w:r w:rsidR="004546B7">
        <w:t xml:space="preserve">principal investigator and </w:t>
      </w:r>
      <w:r w:rsidRPr="00605EC6">
        <w:t>researcher.</w:t>
      </w:r>
    </w:p>
    <w:p w14:paraId="0E2199C9" w14:textId="77777777" w:rsidR="00D43BA5" w:rsidRDefault="00D43BA5" w:rsidP="00D43BA5">
      <w:pPr>
        <w:pStyle w:val="SubHeader"/>
      </w:pPr>
      <w:r>
        <w:t>Publications</w:t>
      </w:r>
    </w:p>
    <w:p w14:paraId="3A157F53" w14:textId="3566644E" w:rsidR="00DD3FBA" w:rsidRDefault="00DD3FBA" w:rsidP="00A07FCD">
      <w:pPr>
        <w:pStyle w:val="Publications"/>
        <w:numPr>
          <w:ilvl w:val="0"/>
          <w:numId w:val="17"/>
        </w:numPr>
        <w:rPr>
          <w:sz w:val="18"/>
          <w:szCs w:val="18"/>
        </w:rPr>
      </w:pPr>
      <w:r>
        <w:rPr>
          <w:sz w:val="18"/>
          <w:szCs w:val="18"/>
        </w:rPr>
        <w:t>With James Bonneson, Paul Ryus, Bast</w:t>
      </w:r>
      <w:r w:rsidR="00F75C09">
        <w:rPr>
          <w:sz w:val="18"/>
          <w:szCs w:val="18"/>
        </w:rPr>
        <w:t>i</w:t>
      </w:r>
      <w:r>
        <w:rPr>
          <w:sz w:val="18"/>
          <w:szCs w:val="18"/>
        </w:rPr>
        <w:t>an Schroeder, Kristine Connolly, Jerome Gluck, Kristine Williams, Zhenyu Wang, Seckin Ozkul, NCHRP 03-120:  Assess Interactions Between Access Management Treatments and Multimodal Users. 2018.</w:t>
      </w:r>
    </w:p>
    <w:p w14:paraId="65C25BAE" w14:textId="3567FBEA" w:rsidR="00DD3FBA" w:rsidRPr="00DD3FBA" w:rsidRDefault="00DD3FBA" w:rsidP="00DD3FBA">
      <w:pPr>
        <w:pStyle w:val="Publications"/>
        <w:numPr>
          <w:ilvl w:val="0"/>
          <w:numId w:val="17"/>
        </w:numPr>
        <w:rPr>
          <w:sz w:val="18"/>
          <w:szCs w:val="18"/>
        </w:rPr>
      </w:pPr>
      <w:r>
        <w:rPr>
          <w:sz w:val="18"/>
          <w:szCs w:val="18"/>
        </w:rPr>
        <w:t>With James Bonneson, Paul Ryus, Bast</w:t>
      </w:r>
      <w:r w:rsidR="00F75C09">
        <w:rPr>
          <w:sz w:val="18"/>
          <w:szCs w:val="18"/>
        </w:rPr>
        <w:t>i</w:t>
      </w:r>
      <w:r>
        <w:rPr>
          <w:sz w:val="18"/>
          <w:szCs w:val="18"/>
        </w:rPr>
        <w:t xml:space="preserve">an Schroeder, Kristine Connolly, Jerome Gluck, Kristine Williams, Zhenyu Wang, Seckin Ozkul, NCHRP Report </w:t>
      </w:r>
      <w:r w:rsidRPr="00DD3FBA">
        <w:rPr>
          <w:sz w:val="18"/>
          <w:szCs w:val="18"/>
        </w:rPr>
        <w:t>900:  Guide for Multimodal Analysis of Corridor Access Management. 2019.</w:t>
      </w:r>
    </w:p>
    <w:p w14:paraId="6C441BD1" w14:textId="77777777" w:rsidR="00A07FCD" w:rsidRPr="00C15CFF" w:rsidRDefault="00A07FCD" w:rsidP="00A07FCD">
      <w:pPr>
        <w:pStyle w:val="Publications"/>
        <w:numPr>
          <w:ilvl w:val="0"/>
          <w:numId w:val="17"/>
        </w:numPr>
        <w:rPr>
          <w:sz w:val="18"/>
          <w:szCs w:val="18"/>
        </w:rPr>
      </w:pPr>
      <w:r w:rsidRPr="00C15CFF">
        <w:rPr>
          <w:sz w:val="18"/>
          <w:szCs w:val="18"/>
        </w:rPr>
        <w:t>With Karen Dixon, Robert Layton, Jim Gattis, Del Huntington, NCHRP 3-99 Project: D</w:t>
      </w:r>
      <w:r w:rsidRPr="00C15CFF">
        <w:rPr>
          <w:i/>
          <w:sz w:val="18"/>
          <w:szCs w:val="18"/>
        </w:rPr>
        <w:t>evelopment and Application of Access Management Guidelines</w:t>
      </w:r>
      <w:r w:rsidR="00DD3FBA">
        <w:rPr>
          <w:i/>
          <w:sz w:val="18"/>
          <w:szCs w:val="18"/>
        </w:rPr>
        <w:t>.</w:t>
      </w:r>
      <w:r w:rsidR="00DD3FBA" w:rsidRPr="00DD3FBA">
        <w:rPr>
          <w:sz w:val="18"/>
          <w:szCs w:val="18"/>
        </w:rPr>
        <w:t xml:space="preserve"> 2016.</w:t>
      </w:r>
    </w:p>
    <w:p w14:paraId="0BEC1990" w14:textId="77777777" w:rsidR="00A07FCD" w:rsidRPr="00C15CFF" w:rsidRDefault="00A07FCD" w:rsidP="00A07FCD">
      <w:pPr>
        <w:pStyle w:val="Publications"/>
        <w:numPr>
          <w:ilvl w:val="0"/>
          <w:numId w:val="17"/>
        </w:numPr>
        <w:rPr>
          <w:sz w:val="18"/>
          <w:szCs w:val="18"/>
        </w:rPr>
      </w:pPr>
      <w:r w:rsidRPr="00C15CFF">
        <w:rPr>
          <w:sz w:val="18"/>
          <w:szCs w:val="18"/>
        </w:rPr>
        <w:t>Institute of Transportation Engineers (ITE) Access Management Web Seminar Presentation (</w:t>
      </w:r>
      <w:r w:rsidRPr="00C15CFF">
        <w:rPr>
          <w:i/>
          <w:sz w:val="18"/>
          <w:szCs w:val="18"/>
        </w:rPr>
        <w:t>Access Management Principles and Practices</w:t>
      </w:r>
      <w:r w:rsidRPr="00C15CFF">
        <w:rPr>
          <w:sz w:val="18"/>
          <w:szCs w:val="18"/>
        </w:rPr>
        <w:t>), 2010.</w:t>
      </w:r>
    </w:p>
    <w:p w14:paraId="7B9D6DDE" w14:textId="77777777" w:rsidR="00A07FCD" w:rsidRPr="00C15CFF" w:rsidRDefault="00A07FCD" w:rsidP="00A07FCD">
      <w:pPr>
        <w:pStyle w:val="Publications"/>
        <w:numPr>
          <w:ilvl w:val="0"/>
          <w:numId w:val="17"/>
        </w:numPr>
        <w:rPr>
          <w:sz w:val="18"/>
          <w:szCs w:val="18"/>
        </w:rPr>
      </w:pPr>
      <w:r w:rsidRPr="00C15CFF">
        <w:rPr>
          <w:sz w:val="18"/>
          <w:szCs w:val="18"/>
        </w:rPr>
        <w:lastRenderedPageBreak/>
        <w:t xml:space="preserve">Hughart, Matt, and Mr. Butorac. </w:t>
      </w:r>
      <w:r w:rsidRPr="00C15CFF">
        <w:rPr>
          <w:i/>
          <w:sz w:val="18"/>
          <w:szCs w:val="18"/>
        </w:rPr>
        <w:t>Oregon, USA's Interchange Area Management Plans (IAMP)</w:t>
      </w:r>
      <w:r w:rsidRPr="00C15CFF">
        <w:rPr>
          <w:sz w:val="18"/>
          <w:szCs w:val="18"/>
        </w:rPr>
        <w:t>. ITE Journal, Vol. 80, No. 1, January 2010.</w:t>
      </w:r>
    </w:p>
    <w:p w14:paraId="618CE591" w14:textId="77777777" w:rsidR="00A07FCD" w:rsidRPr="00C15CFF" w:rsidRDefault="00A07FCD" w:rsidP="00A07FCD">
      <w:pPr>
        <w:pStyle w:val="Publications"/>
        <w:numPr>
          <w:ilvl w:val="0"/>
          <w:numId w:val="17"/>
        </w:numPr>
        <w:rPr>
          <w:sz w:val="18"/>
          <w:szCs w:val="18"/>
        </w:rPr>
      </w:pPr>
      <w:r w:rsidRPr="00C15CFF">
        <w:rPr>
          <w:i/>
          <w:sz w:val="18"/>
          <w:szCs w:val="18"/>
        </w:rPr>
        <w:t>Designing and Managing Interchanges in Collaboration with the Public:  An Interchange Area Management Plan Case Study</w:t>
      </w:r>
      <w:r w:rsidRPr="00C15CFF">
        <w:rPr>
          <w:sz w:val="18"/>
          <w:szCs w:val="18"/>
        </w:rPr>
        <w:t>. Presentation at the 8th Access Management Conference - Baltimore, Maryland, 2008.</w:t>
      </w:r>
    </w:p>
    <w:p w14:paraId="754FD8B2" w14:textId="77777777" w:rsidR="00A07FCD" w:rsidRPr="00C15CFF" w:rsidRDefault="00A07FCD" w:rsidP="00A07FCD">
      <w:pPr>
        <w:pStyle w:val="Publications"/>
        <w:numPr>
          <w:ilvl w:val="0"/>
          <w:numId w:val="17"/>
        </w:numPr>
        <w:rPr>
          <w:sz w:val="18"/>
          <w:szCs w:val="18"/>
        </w:rPr>
      </w:pPr>
      <w:r w:rsidRPr="00C15CFF">
        <w:rPr>
          <w:sz w:val="18"/>
          <w:szCs w:val="18"/>
        </w:rPr>
        <w:t xml:space="preserve">Overview of NCHRP Synthesis 332 on </w:t>
      </w:r>
      <w:r w:rsidRPr="00C15CFF">
        <w:rPr>
          <w:i/>
          <w:sz w:val="18"/>
          <w:szCs w:val="18"/>
        </w:rPr>
        <w:t>Access Management in the Vicinity of Interchanges</w:t>
      </w:r>
      <w:r w:rsidRPr="00C15CFF">
        <w:rPr>
          <w:sz w:val="18"/>
          <w:szCs w:val="18"/>
        </w:rPr>
        <w:t>.  Presentation at the TRB 85th Annual Meeting – Washington D.C., 2007.</w:t>
      </w:r>
    </w:p>
    <w:p w14:paraId="13390985" w14:textId="77777777" w:rsidR="00A07FCD" w:rsidRPr="00C15CFF" w:rsidRDefault="00A07FCD" w:rsidP="00A07FCD">
      <w:pPr>
        <w:pStyle w:val="Publications"/>
        <w:numPr>
          <w:ilvl w:val="0"/>
          <w:numId w:val="17"/>
        </w:numPr>
        <w:rPr>
          <w:sz w:val="18"/>
          <w:szCs w:val="18"/>
        </w:rPr>
      </w:pPr>
      <w:r w:rsidRPr="00C15CFF">
        <w:rPr>
          <w:sz w:val="18"/>
          <w:szCs w:val="18"/>
        </w:rPr>
        <w:t>A Review of Oregon's Innovative Interchange Area Management Plans. Presentation at the 7th Access Management Conference - Park City, Utah, 2006</w:t>
      </w:r>
    </w:p>
    <w:p w14:paraId="0E2EF9AD" w14:textId="77777777" w:rsidR="00A07FCD" w:rsidRPr="00C15CFF" w:rsidRDefault="00A07FCD" w:rsidP="00A07FCD">
      <w:pPr>
        <w:pStyle w:val="Publications"/>
        <w:numPr>
          <w:ilvl w:val="0"/>
          <w:numId w:val="17"/>
        </w:numPr>
        <w:rPr>
          <w:sz w:val="18"/>
          <w:szCs w:val="18"/>
        </w:rPr>
      </w:pPr>
      <w:r w:rsidRPr="00C15CFF">
        <w:rPr>
          <w:sz w:val="18"/>
          <w:szCs w:val="18"/>
        </w:rPr>
        <w:t xml:space="preserve">Overview of NCHRP Synthesis 332 on </w:t>
      </w:r>
      <w:r w:rsidRPr="00C15CFF">
        <w:rPr>
          <w:i/>
          <w:sz w:val="18"/>
          <w:szCs w:val="18"/>
        </w:rPr>
        <w:t>Access Management in the Vicinity of Interchanges</w:t>
      </w:r>
      <w:r w:rsidRPr="00C15CFF">
        <w:rPr>
          <w:sz w:val="18"/>
          <w:szCs w:val="18"/>
        </w:rPr>
        <w:t>.  Presentation at the 7th Access Management Conference - Park City, Utah, 2006.</w:t>
      </w:r>
    </w:p>
    <w:p w14:paraId="3B2D2AD4" w14:textId="77777777" w:rsidR="00A07FCD" w:rsidRPr="00C15CFF" w:rsidRDefault="00A07FCD" w:rsidP="00A07FCD">
      <w:pPr>
        <w:pStyle w:val="Publications"/>
        <w:numPr>
          <w:ilvl w:val="0"/>
          <w:numId w:val="17"/>
        </w:numPr>
        <w:rPr>
          <w:sz w:val="18"/>
          <w:szCs w:val="18"/>
        </w:rPr>
      </w:pPr>
      <w:r w:rsidRPr="00C15CFF">
        <w:rPr>
          <w:sz w:val="18"/>
          <w:szCs w:val="18"/>
        </w:rPr>
        <w:t xml:space="preserve">With Del Huntington, NCHRP Synthesis 351 – </w:t>
      </w:r>
      <w:r w:rsidRPr="00C15CFF">
        <w:rPr>
          <w:i/>
          <w:sz w:val="18"/>
          <w:szCs w:val="18"/>
        </w:rPr>
        <w:t>Access Rights</w:t>
      </w:r>
      <w:r w:rsidRPr="00C15CFF">
        <w:rPr>
          <w:sz w:val="18"/>
          <w:szCs w:val="18"/>
        </w:rPr>
        <w:t>.  National Highway Cooperative Research Program. National Academy of Sciences, 2006.</w:t>
      </w:r>
    </w:p>
    <w:p w14:paraId="4ED0DDB5" w14:textId="77777777" w:rsidR="00A07FCD" w:rsidRPr="00C15CFF" w:rsidRDefault="00A07FCD" w:rsidP="00A07FCD">
      <w:pPr>
        <w:pStyle w:val="Publications"/>
        <w:numPr>
          <w:ilvl w:val="0"/>
          <w:numId w:val="17"/>
        </w:numPr>
        <w:rPr>
          <w:sz w:val="18"/>
          <w:szCs w:val="18"/>
        </w:rPr>
      </w:pPr>
      <w:r w:rsidRPr="00C15CFF">
        <w:rPr>
          <w:sz w:val="18"/>
          <w:szCs w:val="18"/>
        </w:rPr>
        <w:t xml:space="preserve">With Jerilyn Wen. NCHRP Synthesis 332 – </w:t>
      </w:r>
      <w:r w:rsidRPr="00C15CFF">
        <w:rPr>
          <w:i/>
          <w:sz w:val="18"/>
          <w:szCs w:val="18"/>
        </w:rPr>
        <w:t>Access Management of Crossroads in the Vicinity of Interchanges</w:t>
      </w:r>
      <w:r w:rsidRPr="00C15CFF">
        <w:rPr>
          <w:sz w:val="18"/>
          <w:szCs w:val="18"/>
        </w:rPr>
        <w:t>. National Highway Cooperative Research Program. National Academy of Sciences, 2004.</w:t>
      </w:r>
    </w:p>
    <w:p w14:paraId="3DD648AA" w14:textId="77777777" w:rsidR="00A07FCD" w:rsidRPr="00C15CFF" w:rsidRDefault="00A07FCD" w:rsidP="00A07FCD">
      <w:pPr>
        <w:pStyle w:val="Publications"/>
        <w:numPr>
          <w:ilvl w:val="0"/>
          <w:numId w:val="17"/>
        </w:numPr>
        <w:rPr>
          <w:sz w:val="18"/>
          <w:szCs w:val="18"/>
        </w:rPr>
      </w:pPr>
      <w:r w:rsidRPr="00C15CFF">
        <w:rPr>
          <w:sz w:val="18"/>
          <w:szCs w:val="18"/>
        </w:rPr>
        <w:t xml:space="preserve">With Del Huntington.  </w:t>
      </w:r>
      <w:r w:rsidRPr="00C15CFF">
        <w:rPr>
          <w:i/>
          <w:sz w:val="18"/>
          <w:szCs w:val="18"/>
        </w:rPr>
        <w:t>Access Management Road Trip Workshop</w:t>
      </w:r>
      <w:r w:rsidRPr="00C15CFF">
        <w:rPr>
          <w:sz w:val="18"/>
          <w:szCs w:val="18"/>
        </w:rPr>
        <w:t>. Workshop at the 6th Access Management Conference – Vail, Colorado. 2004.</w:t>
      </w:r>
    </w:p>
    <w:p w14:paraId="60AE686A" w14:textId="77777777" w:rsidR="00A07FCD" w:rsidRPr="00C15CFF" w:rsidRDefault="00A07FCD" w:rsidP="00A07FCD">
      <w:pPr>
        <w:pStyle w:val="Publications"/>
        <w:numPr>
          <w:ilvl w:val="0"/>
          <w:numId w:val="17"/>
        </w:numPr>
        <w:rPr>
          <w:sz w:val="18"/>
          <w:szCs w:val="18"/>
        </w:rPr>
      </w:pPr>
      <w:r w:rsidRPr="00C15CFF">
        <w:rPr>
          <w:sz w:val="18"/>
          <w:szCs w:val="18"/>
        </w:rPr>
        <w:t xml:space="preserve">With co-author C. Brehmer. </w:t>
      </w:r>
      <w:r w:rsidRPr="00C15CFF">
        <w:rPr>
          <w:i/>
          <w:sz w:val="18"/>
          <w:szCs w:val="18"/>
        </w:rPr>
        <w:t>Trip Generation Characteristics of Discount Supermarkets.</w:t>
      </w:r>
      <w:r w:rsidRPr="00C15CFF">
        <w:rPr>
          <w:sz w:val="18"/>
          <w:szCs w:val="18"/>
        </w:rPr>
        <w:t xml:space="preserve"> ITE Journal. Institute of Transportation Engineers, November 2003.</w:t>
      </w:r>
    </w:p>
    <w:p w14:paraId="1DE88F5D" w14:textId="77777777" w:rsidR="00A07FCD" w:rsidRPr="00C15CFF" w:rsidRDefault="00A07FCD" w:rsidP="00A07FCD">
      <w:pPr>
        <w:pStyle w:val="Publications"/>
        <w:numPr>
          <w:ilvl w:val="0"/>
          <w:numId w:val="17"/>
        </w:numPr>
        <w:rPr>
          <w:sz w:val="18"/>
          <w:szCs w:val="18"/>
        </w:rPr>
      </w:pPr>
      <w:r w:rsidRPr="00C15CFF">
        <w:rPr>
          <w:sz w:val="18"/>
          <w:szCs w:val="18"/>
        </w:rPr>
        <w:t xml:space="preserve">With Carroll Messer. </w:t>
      </w:r>
      <w:r w:rsidRPr="00C15CFF">
        <w:rPr>
          <w:i/>
          <w:sz w:val="18"/>
          <w:szCs w:val="18"/>
        </w:rPr>
        <w:t>A Dual-Lane Flow Signal Plan for Texas.</w:t>
      </w:r>
      <w:r w:rsidRPr="00C15CFF">
        <w:rPr>
          <w:sz w:val="18"/>
          <w:szCs w:val="18"/>
        </w:rPr>
        <w:t xml:space="preserve"> Texas Transportation Institute. Texas A&amp;M University, November 1997.</w:t>
      </w:r>
    </w:p>
    <w:p w14:paraId="7DD0A8FD" w14:textId="77777777" w:rsidR="003C4179" w:rsidRPr="00C15CFF" w:rsidRDefault="00A07FCD" w:rsidP="003C4179">
      <w:pPr>
        <w:pStyle w:val="Publications"/>
        <w:numPr>
          <w:ilvl w:val="0"/>
          <w:numId w:val="17"/>
        </w:numPr>
        <w:rPr>
          <w:sz w:val="18"/>
          <w:szCs w:val="18"/>
        </w:rPr>
      </w:pPr>
      <w:r w:rsidRPr="00C15CFF">
        <w:rPr>
          <w:sz w:val="18"/>
          <w:szCs w:val="18"/>
        </w:rPr>
        <w:t xml:space="preserve">With Michael Kyte, Z. Tian, J. Kuhn, H. Poffenroth, and B. Robertson. </w:t>
      </w:r>
      <w:r w:rsidRPr="00C15CFF">
        <w:rPr>
          <w:i/>
          <w:sz w:val="18"/>
          <w:szCs w:val="18"/>
        </w:rPr>
        <w:t>Saturation Headways at Stop-Controlled Intersections</w:t>
      </w:r>
      <w:r w:rsidRPr="00C15CFF">
        <w:rPr>
          <w:sz w:val="18"/>
          <w:szCs w:val="18"/>
        </w:rPr>
        <w:t>. University of Idaho, December 1993.</w:t>
      </w:r>
    </w:p>
    <w:p w14:paraId="48EFF9AE" w14:textId="77777777" w:rsidR="003C4179" w:rsidRDefault="003C4179" w:rsidP="003C4179">
      <w:pPr>
        <w:pStyle w:val="SubHeader"/>
      </w:pPr>
      <w:r>
        <w:t>legal services/expert witness</w:t>
      </w:r>
    </w:p>
    <w:p w14:paraId="394A6725" w14:textId="175D9F65" w:rsidR="003C4179" w:rsidRPr="003C4179" w:rsidRDefault="003C4179" w:rsidP="003C4179">
      <w:r w:rsidRPr="003C4179">
        <w:t>Marc has served as an expert witness for civil and land use cases associated with</w:t>
      </w:r>
      <w:r w:rsidR="00C15CFF">
        <w:t xml:space="preserve"> </w:t>
      </w:r>
      <w:r w:rsidRPr="003C4179">
        <w:t xml:space="preserve">transportation engineering, planning, and </w:t>
      </w:r>
      <w:r w:rsidR="0045368B">
        <w:t>policy-related</w:t>
      </w:r>
      <w:r w:rsidRPr="003C4179">
        <w:t xml:space="preserve"> issues. Marc’s grasp of the issues and broad transportation knowledge and experience has proven invaluable in providing clients with expert consultation and testimony on cases ranging from traffic </w:t>
      </w:r>
      <w:r w:rsidR="0045368B">
        <w:t>control-related</w:t>
      </w:r>
      <w:r w:rsidRPr="003C4179">
        <w:t xml:space="preserve"> accidents to local improvement district allocation studies. Marc has represented multiple public and private entities over his career.</w:t>
      </w:r>
      <w:r w:rsidR="006950E8">
        <w:t xml:space="preserve">  Below is a partial listing of cases Marc has engaged in.</w:t>
      </w:r>
    </w:p>
    <w:p w14:paraId="7663D599" w14:textId="0F4D078E" w:rsidR="003C4179" w:rsidRPr="00C15CFF" w:rsidRDefault="003C4179" w:rsidP="003C4179">
      <w:pPr>
        <w:pStyle w:val="ListParagraph"/>
        <w:numPr>
          <w:ilvl w:val="0"/>
          <w:numId w:val="22"/>
        </w:numPr>
        <w:rPr>
          <w:sz w:val="18"/>
          <w:szCs w:val="18"/>
        </w:rPr>
      </w:pPr>
      <w:r w:rsidRPr="00C15CFF">
        <w:rPr>
          <w:sz w:val="18"/>
          <w:szCs w:val="18"/>
        </w:rPr>
        <w:t>State of Oregon v. Tualatin Aloha Co., LLC, Washington County Circuit Court Case Number C151261CV</w:t>
      </w:r>
    </w:p>
    <w:p w14:paraId="6F0642A5" w14:textId="77777777" w:rsidR="003C4179" w:rsidRPr="00C15CFF" w:rsidRDefault="003C4179" w:rsidP="003C4179">
      <w:pPr>
        <w:pStyle w:val="ListParagraph"/>
        <w:numPr>
          <w:ilvl w:val="0"/>
          <w:numId w:val="22"/>
        </w:numPr>
        <w:rPr>
          <w:sz w:val="18"/>
          <w:szCs w:val="18"/>
        </w:rPr>
      </w:pPr>
      <w:r w:rsidRPr="00C15CFF">
        <w:rPr>
          <w:iCs/>
          <w:sz w:val="18"/>
          <w:szCs w:val="18"/>
        </w:rPr>
        <w:t>State v. Lindquist Holdings, LLC; Meadow Ridge Farms, Inc. &amp; Yamhill County</w:t>
      </w:r>
      <w:r w:rsidRPr="00C15CFF">
        <w:rPr>
          <w:sz w:val="18"/>
          <w:szCs w:val="18"/>
        </w:rPr>
        <w:t>, Yamhill County Circuit Court Case No. 13CV03476</w:t>
      </w:r>
    </w:p>
    <w:p w14:paraId="5E379BB7" w14:textId="77777777" w:rsidR="003C4179" w:rsidRPr="00C15CFF" w:rsidRDefault="003C4179" w:rsidP="003C4179">
      <w:pPr>
        <w:pStyle w:val="ListParagraph"/>
        <w:numPr>
          <w:ilvl w:val="0"/>
          <w:numId w:val="22"/>
        </w:numPr>
        <w:rPr>
          <w:sz w:val="18"/>
          <w:szCs w:val="18"/>
        </w:rPr>
      </w:pPr>
      <w:r w:rsidRPr="00C15CFF">
        <w:rPr>
          <w:iCs/>
          <w:sz w:val="18"/>
          <w:szCs w:val="18"/>
        </w:rPr>
        <w:t>State v. Lindquist, Stuart,</w:t>
      </w:r>
      <w:r w:rsidRPr="00C15CFF">
        <w:rPr>
          <w:sz w:val="18"/>
          <w:szCs w:val="18"/>
        </w:rPr>
        <w:t xml:space="preserve"> Yamhill County Circuit Court Case No. 13CV03477</w:t>
      </w:r>
    </w:p>
    <w:p w14:paraId="165DAB5A" w14:textId="77777777" w:rsidR="003C4179" w:rsidRPr="00C15CFF" w:rsidRDefault="003C4179" w:rsidP="003C4179">
      <w:pPr>
        <w:pStyle w:val="ListParagraph"/>
        <w:numPr>
          <w:ilvl w:val="0"/>
          <w:numId w:val="22"/>
        </w:numPr>
        <w:rPr>
          <w:sz w:val="18"/>
          <w:szCs w:val="18"/>
        </w:rPr>
      </w:pPr>
      <w:r w:rsidRPr="00C15CFF">
        <w:rPr>
          <w:sz w:val="18"/>
          <w:szCs w:val="18"/>
        </w:rPr>
        <w:t xml:space="preserve">Thurston County No. </w:t>
      </w:r>
      <w:bookmarkStart w:id="0" w:name="CaseNo"/>
      <w:r w:rsidRPr="00C15CFF">
        <w:rPr>
          <w:sz w:val="18"/>
          <w:szCs w:val="18"/>
        </w:rPr>
        <w:t>08-2-13869-6</w:t>
      </w:r>
      <w:bookmarkEnd w:id="0"/>
    </w:p>
    <w:p w14:paraId="22835671" w14:textId="77777777" w:rsidR="003C4179" w:rsidRPr="00C15CFF" w:rsidRDefault="003C4179" w:rsidP="003C4179">
      <w:pPr>
        <w:pStyle w:val="ListParagraph"/>
        <w:numPr>
          <w:ilvl w:val="0"/>
          <w:numId w:val="22"/>
        </w:numPr>
        <w:rPr>
          <w:sz w:val="18"/>
          <w:szCs w:val="18"/>
        </w:rPr>
      </w:pPr>
      <w:r w:rsidRPr="00C15CFF">
        <w:rPr>
          <w:sz w:val="18"/>
          <w:szCs w:val="18"/>
        </w:rPr>
        <w:t>State v. McDonald’s Corporation et al., Marion County Circuit Court Case No. 13C18997</w:t>
      </w:r>
    </w:p>
    <w:p w14:paraId="2397F01D" w14:textId="77777777" w:rsidR="003C4179" w:rsidRPr="00C15CFF" w:rsidRDefault="003C4179" w:rsidP="003C4179">
      <w:pPr>
        <w:pStyle w:val="ListParagraph"/>
        <w:numPr>
          <w:ilvl w:val="0"/>
          <w:numId w:val="22"/>
        </w:numPr>
        <w:rPr>
          <w:sz w:val="18"/>
          <w:szCs w:val="18"/>
        </w:rPr>
      </w:pPr>
      <w:r w:rsidRPr="00C15CFF">
        <w:rPr>
          <w:sz w:val="18"/>
          <w:szCs w:val="18"/>
        </w:rPr>
        <w:t>State v. Knez Realty Group, Clackamas County Circuit Court Case No. CY13020861</w:t>
      </w:r>
    </w:p>
    <w:p w14:paraId="16E351D1" w14:textId="77777777" w:rsidR="003C4179" w:rsidRPr="00C15CFF" w:rsidRDefault="003C4179" w:rsidP="003C4179">
      <w:pPr>
        <w:pStyle w:val="ListParagraph"/>
        <w:numPr>
          <w:ilvl w:val="0"/>
          <w:numId w:val="22"/>
        </w:numPr>
        <w:rPr>
          <w:sz w:val="18"/>
          <w:szCs w:val="18"/>
        </w:rPr>
      </w:pPr>
      <w:r w:rsidRPr="00C15CFF">
        <w:rPr>
          <w:sz w:val="18"/>
          <w:szCs w:val="18"/>
        </w:rPr>
        <w:t>State of Oregon v Tore 93 Deschutes County Circuit Court Case #</w:t>
      </w:r>
      <w:proofErr w:type="gramStart"/>
      <w:r w:rsidRPr="00C15CFF">
        <w:rPr>
          <w:sz w:val="18"/>
          <w:szCs w:val="18"/>
        </w:rPr>
        <w:t>12CV1281</w:t>
      </w:r>
      <w:proofErr w:type="gramEnd"/>
    </w:p>
    <w:p w14:paraId="29C68B21" w14:textId="77777777" w:rsidR="003C4179" w:rsidRPr="00C15CFF" w:rsidRDefault="003C4179" w:rsidP="003C4179">
      <w:pPr>
        <w:pStyle w:val="ListParagraph"/>
        <w:numPr>
          <w:ilvl w:val="0"/>
          <w:numId w:val="22"/>
        </w:numPr>
        <w:rPr>
          <w:iCs/>
          <w:sz w:val="18"/>
          <w:szCs w:val="18"/>
        </w:rPr>
      </w:pPr>
      <w:r w:rsidRPr="00C15CFF">
        <w:rPr>
          <w:sz w:val="18"/>
          <w:szCs w:val="18"/>
        </w:rPr>
        <w:t xml:space="preserve">State v. Estacada Oil Company, dba Northwest Petroleum, Inc., et </w:t>
      </w:r>
      <w:r w:rsidR="001B574E" w:rsidRPr="00C15CFF">
        <w:rPr>
          <w:sz w:val="18"/>
          <w:szCs w:val="18"/>
        </w:rPr>
        <w:t>al, Clackamas Circuit C</w:t>
      </w:r>
      <w:r w:rsidRPr="00C15CFF">
        <w:rPr>
          <w:sz w:val="18"/>
          <w:szCs w:val="18"/>
        </w:rPr>
        <w:t xml:space="preserve">ase </w:t>
      </w:r>
      <w:r w:rsidR="001B574E" w:rsidRPr="00C15CFF">
        <w:rPr>
          <w:sz w:val="18"/>
          <w:szCs w:val="18"/>
        </w:rPr>
        <w:t>N</w:t>
      </w:r>
      <w:r w:rsidRPr="00C15CFF">
        <w:rPr>
          <w:sz w:val="18"/>
          <w:szCs w:val="18"/>
        </w:rPr>
        <w:t>o: CV13050910</w:t>
      </w:r>
    </w:p>
    <w:p w14:paraId="40D4406A" w14:textId="77777777" w:rsidR="003C4179" w:rsidRPr="00C15CFF" w:rsidRDefault="003C4179" w:rsidP="003C4179">
      <w:pPr>
        <w:pStyle w:val="ListParagraph"/>
        <w:numPr>
          <w:ilvl w:val="0"/>
          <w:numId w:val="22"/>
        </w:numPr>
        <w:rPr>
          <w:iCs/>
          <w:sz w:val="18"/>
          <w:szCs w:val="18"/>
        </w:rPr>
      </w:pPr>
      <w:r w:rsidRPr="00C15CFF">
        <w:rPr>
          <w:iCs/>
          <w:sz w:val="18"/>
          <w:szCs w:val="18"/>
        </w:rPr>
        <w:t xml:space="preserve">State v. Keith L. Wilson Construction, </w:t>
      </w:r>
      <w:r w:rsidRPr="00C15CFF">
        <w:rPr>
          <w:sz w:val="18"/>
          <w:szCs w:val="18"/>
        </w:rPr>
        <w:t>Clackamas County Circuit Court Case No. CV13040903</w:t>
      </w:r>
    </w:p>
    <w:p w14:paraId="29B7EAAA" w14:textId="77777777" w:rsidR="003C4179" w:rsidRPr="00C15CFF" w:rsidRDefault="003C4179" w:rsidP="003C4179">
      <w:pPr>
        <w:pStyle w:val="ListParagraph"/>
        <w:numPr>
          <w:ilvl w:val="0"/>
          <w:numId w:val="22"/>
        </w:numPr>
        <w:rPr>
          <w:sz w:val="18"/>
          <w:szCs w:val="18"/>
        </w:rPr>
      </w:pPr>
      <w:r w:rsidRPr="00C15CFF">
        <w:rPr>
          <w:iCs/>
          <w:sz w:val="18"/>
          <w:szCs w:val="18"/>
        </w:rPr>
        <w:t>State of Oregon v. Reed (Pioneer 76),</w:t>
      </w:r>
      <w:r w:rsidRPr="00C15CFF">
        <w:rPr>
          <w:sz w:val="18"/>
          <w:szCs w:val="18"/>
        </w:rPr>
        <w:t xml:space="preserve"> Marion County Circuit Court Case No. 14C14149</w:t>
      </w:r>
    </w:p>
    <w:p w14:paraId="0FB25287" w14:textId="77777777" w:rsidR="003C4179" w:rsidRPr="00C15CFF" w:rsidRDefault="003C4179" w:rsidP="003C4179">
      <w:pPr>
        <w:pStyle w:val="ListParagraph"/>
        <w:numPr>
          <w:ilvl w:val="0"/>
          <w:numId w:val="22"/>
        </w:numPr>
        <w:rPr>
          <w:sz w:val="18"/>
          <w:szCs w:val="18"/>
        </w:rPr>
      </w:pPr>
      <w:r w:rsidRPr="00C15CFF">
        <w:rPr>
          <w:sz w:val="18"/>
          <w:szCs w:val="18"/>
        </w:rPr>
        <w:t>Donzellie v. Wild River Association, Deschutes County Circuit Court Case No. 14CV0224</w:t>
      </w:r>
    </w:p>
    <w:p w14:paraId="4714C58E" w14:textId="77777777" w:rsidR="003C4179" w:rsidRPr="00C15CFF" w:rsidRDefault="003C4179" w:rsidP="003C4179">
      <w:pPr>
        <w:pStyle w:val="ListParagraph"/>
        <w:numPr>
          <w:ilvl w:val="0"/>
          <w:numId w:val="22"/>
        </w:numPr>
        <w:rPr>
          <w:sz w:val="18"/>
          <w:szCs w:val="18"/>
        </w:rPr>
      </w:pPr>
      <w:r w:rsidRPr="00C15CFF">
        <w:rPr>
          <w:sz w:val="18"/>
          <w:szCs w:val="18"/>
        </w:rPr>
        <w:t xml:space="preserve">Yazmin Barajas v. OCI Beaumont, LLC and Ikechukwy Obodo, </w:t>
      </w:r>
      <w:r w:rsidR="001B574E" w:rsidRPr="00C15CFF">
        <w:rPr>
          <w:sz w:val="18"/>
          <w:szCs w:val="18"/>
        </w:rPr>
        <w:t>District Court of Jefferson County, TX Cause No. A-195,925</w:t>
      </w:r>
    </w:p>
    <w:p w14:paraId="02EBC17D" w14:textId="77777777" w:rsidR="003C4179" w:rsidRPr="00C15CFF" w:rsidRDefault="001B574E" w:rsidP="003C4179">
      <w:pPr>
        <w:pStyle w:val="ListParagraph"/>
        <w:numPr>
          <w:ilvl w:val="0"/>
          <w:numId w:val="22"/>
        </w:numPr>
        <w:rPr>
          <w:sz w:val="18"/>
          <w:szCs w:val="18"/>
        </w:rPr>
      </w:pPr>
      <w:r w:rsidRPr="00C15CFF">
        <w:rPr>
          <w:sz w:val="18"/>
          <w:szCs w:val="18"/>
        </w:rPr>
        <w:t>Hollie Dean Poor and Tammy Poor v. Love’s Travel Stops &amp; Country Stores, Inc., C.R., England, Inc. and James Randolph Erwin, Jr., District Court of Franklin County, TX Cause No. 11829</w:t>
      </w:r>
    </w:p>
    <w:p w14:paraId="296A9747" w14:textId="77777777" w:rsidR="001B574E" w:rsidRDefault="001B574E" w:rsidP="003C4179">
      <w:pPr>
        <w:pStyle w:val="ListParagraph"/>
        <w:numPr>
          <w:ilvl w:val="0"/>
          <w:numId w:val="22"/>
        </w:numPr>
        <w:rPr>
          <w:sz w:val="18"/>
          <w:szCs w:val="18"/>
        </w:rPr>
      </w:pPr>
      <w:r w:rsidRPr="00C15CFF">
        <w:rPr>
          <w:sz w:val="18"/>
          <w:szCs w:val="18"/>
        </w:rPr>
        <w:t>State of Oregon v. Kimmel-American Lumber, Jackson County Circuit Court.</w:t>
      </w:r>
    </w:p>
    <w:p w14:paraId="793A417A" w14:textId="77777777" w:rsidR="006B1A36" w:rsidRDefault="008E3377" w:rsidP="006B1A36">
      <w:pPr>
        <w:pStyle w:val="ListParagraph"/>
        <w:numPr>
          <w:ilvl w:val="0"/>
          <w:numId w:val="22"/>
        </w:numPr>
        <w:rPr>
          <w:sz w:val="18"/>
          <w:szCs w:val="18"/>
        </w:rPr>
      </w:pPr>
      <w:r>
        <w:rPr>
          <w:sz w:val="18"/>
          <w:szCs w:val="18"/>
        </w:rPr>
        <w:t xml:space="preserve">Carl </w:t>
      </w:r>
      <w:r w:rsidR="004546B7" w:rsidRPr="00542ED7">
        <w:rPr>
          <w:sz w:val="18"/>
          <w:szCs w:val="18"/>
        </w:rPr>
        <w:t xml:space="preserve">Hasselback v. </w:t>
      </w:r>
      <w:r>
        <w:rPr>
          <w:sz w:val="18"/>
          <w:szCs w:val="18"/>
        </w:rPr>
        <w:t xml:space="preserve">Derrick Corporation and Randall </w:t>
      </w:r>
      <w:r w:rsidR="004546B7" w:rsidRPr="00542ED7">
        <w:rPr>
          <w:sz w:val="18"/>
          <w:szCs w:val="18"/>
        </w:rPr>
        <w:t>Benderson</w:t>
      </w:r>
      <w:r w:rsidR="00542ED7" w:rsidRPr="00542ED7">
        <w:rPr>
          <w:sz w:val="18"/>
          <w:szCs w:val="18"/>
        </w:rPr>
        <w:t xml:space="preserve"> </w:t>
      </w:r>
      <w:r>
        <w:rPr>
          <w:sz w:val="18"/>
          <w:szCs w:val="18"/>
        </w:rPr>
        <w:t>Trust, State of New York Supreme Court: County of Erie, Index No.: 601401/2012</w:t>
      </w:r>
      <w:bookmarkStart w:id="1" w:name="_Hlk508954291"/>
      <w:r>
        <w:rPr>
          <w:sz w:val="18"/>
          <w:szCs w:val="18"/>
        </w:rPr>
        <w:t>.</w:t>
      </w:r>
    </w:p>
    <w:p w14:paraId="4AEEEF7D" w14:textId="77777777" w:rsidR="006B1A36" w:rsidRPr="005D1DB9" w:rsidRDefault="00542ED7" w:rsidP="006B1A36">
      <w:pPr>
        <w:pStyle w:val="ListParagraph"/>
        <w:numPr>
          <w:ilvl w:val="0"/>
          <w:numId w:val="22"/>
        </w:numPr>
        <w:rPr>
          <w:sz w:val="18"/>
          <w:szCs w:val="18"/>
        </w:rPr>
      </w:pPr>
      <w:r w:rsidRPr="006B1A36">
        <w:rPr>
          <w:sz w:val="18"/>
          <w:szCs w:val="18"/>
        </w:rPr>
        <w:t>S</w:t>
      </w:r>
      <w:r w:rsidR="004546B7" w:rsidRPr="006B1A36">
        <w:rPr>
          <w:sz w:val="18"/>
          <w:szCs w:val="18"/>
        </w:rPr>
        <w:t>tate of Oregon v. Peterson</w:t>
      </w:r>
      <w:r w:rsidRPr="006B1A36">
        <w:rPr>
          <w:sz w:val="18"/>
          <w:szCs w:val="18"/>
        </w:rPr>
        <w:t xml:space="preserve"> Crossing</w:t>
      </w:r>
      <w:bookmarkEnd w:id="1"/>
      <w:r w:rsidR="004546B7" w:rsidRPr="005D1DB9">
        <w:rPr>
          <w:sz w:val="18"/>
          <w:szCs w:val="18"/>
        </w:rPr>
        <w:t xml:space="preserve">, </w:t>
      </w:r>
      <w:r w:rsidR="006B1A36" w:rsidRPr="005D1DB9">
        <w:rPr>
          <w:sz w:val="18"/>
          <w:szCs w:val="18"/>
        </w:rPr>
        <w:t>Multnomah County Civil Court</w:t>
      </w:r>
      <w:r w:rsidR="005D1DB9">
        <w:rPr>
          <w:sz w:val="18"/>
          <w:szCs w:val="18"/>
        </w:rPr>
        <w:t xml:space="preserve"> Case No. </w:t>
      </w:r>
      <w:r w:rsidR="005D1DB9" w:rsidRPr="005D1DB9">
        <w:rPr>
          <w:sz w:val="18"/>
          <w:szCs w:val="18"/>
        </w:rPr>
        <w:t>17CV36174</w:t>
      </w:r>
    </w:p>
    <w:p w14:paraId="4B666627" w14:textId="77777777" w:rsidR="004546B7" w:rsidRPr="00542ED7" w:rsidRDefault="004546B7" w:rsidP="005D1DB9">
      <w:pPr>
        <w:pStyle w:val="ListParagraph"/>
        <w:rPr>
          <w:sz w:val="18"/>
          <w:szCs w:val="18"/>
        </w:rPr>
      </w:pPr>
    </w:p>
    <w:p w14:paraId="3269B48B" w14:textId="77777777" w:rsidR="003C4179" w:rsidRPr="00C15CFF" w:rsidRDefault="003C4179" w:rsidP="003C4179">
      <w:pPr>
        <w:pStyle w:val="SidebarText"/>
        <w:rPr>
          <w:sz w:val="18"/>
          <w:szCs w:val="18"/>
        </w:rPr>
      </w:pPr>
    </w:p>
    <w:sectPr w:rsidR="003C4179" w:rsidRPr="00C15CFF" w:rsidSect="00D51E82">
      <w:headerReference w:type="even" r:id="rId10"/>
      <w:headerReference w:type="default" r:id="rId11"/>
      <w:footerReference w:type="even" r:id="rId12"/>
      <w:footerReference w:type="default" r:id="rId13"/>
      <w:headerReference w:type="first" r:id="rId14"/>
      <w:footerReference w:type="first" r:id="rId15"/>
      <w:pgSz w:w="12240" w:h="15840" w:code="1"/>
      <w:pgMar w:top="936" w:right="648" w:bottom="720" w:left="1123"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B3652" w14:textId="77777777" w:rsidR="00E326C4" w:rsidRDefault="00E326C4">
      <w:r>
        <w:separator/>
      </w:r>
    </w:p>
  </w:endnote>
  <w:endnote w:type="continuationSeparator" w:id="0">
    <w:p w14:paraId="79C672A6" w14:textId="77777777" w:rsidR="00E326C4" w:rsidRDefault="00E32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DE9D" w14:textId="77777777" w:rsidR="00BB01FE" w:rsidRDefault="00957714">
    <w:r>
      <w:rPr>
        <w:noProof/>
      </w:rPr>
      <w:drawing>
        <wp:anchor distT="0" distB="0" distL="114300" distR="114300" simplePos="0" relativeHeight="251656192" behindDoc="0" locked="0" layoutInCell="1" allowOverlap="1" wp14:anchorId="7120FA3C" wp14:editId="192CC18A">
          <wp:simplePos x="0" y="0"/>
          <wp:positionH relativeFrom="column">
            <wp:posOffset>4176395</wp:posOffset>
          </wp:positionH>
          <wp:positionV relativeFrom="paragraph">
            <wp:posOffset>50165</wp:posOffset>
          </wp:positionV>
          <wp:extent cx="365760" cy="353695"/>
          <wp:effectExtent l="0" t="0" r="0" b="0"/>
          <wp:wrapNone/>
          <wp:docPr id="2" name="Picture 2" descr="KAI_2006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I_2006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536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7216" behindDoc="0" locked="0" layoutInCell="1" allowOverlap="1" wp14:anchorId="65099AA1" wp14:editId="3C7E07FA">
              <wp:simplePos x="0" y="0"/>
              <wp:positionH relativeFrom="page">
                <wp:posOffset>822960</wp:posOffset>
              </wp:positionH>
              <wp:positionV relativeFrom="page">
                <wp:posOffset>9391014</wp:posOffset>
              </wp:positionV>
              <wp:extent cx="6035040" cy="0"/>
              <wp:effectExtent l="0" t="0" r="22860" b="190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8D6CC" id="Line 13"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64.8pt,739.45pt" to="540pt,7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GkYB8TeAAAADgEAAA8AAABkcnMvZG93bnJldi54bWxMj0FP&#10;wzAMhe9I/IfISFwmllDQ6ErTCQG9cWGAuHqtaSsap2uyrfDr8Q4Ibn720/P38tXkerWnMXSeLVzO&#10;DSjiytcdNxZeX8qLFFSIyDX2nsnCFwVYFacnOWa1P/Az7dexURLCIUMLbYxDpnWoWnIY5n4gltuH&#10;Hx1GkWOj6xEPEu56nRiz0A47lg8tDnTfUvW53jkLoXyjbfk9q2bm/arxlGwfnh7R2vOz6e4WVKQp&#10;/pnhiC/oUAjTxu+4DqoXnSwXYpXh+iZdgjpaTGqk3+Z3p4tc/69R/AAAAP//AwBQSwECLQAUAAYA&#10;CAAAACEAtoM4kv4AAADhAQAAEwAAAAAAAAAAAAAAAAAAAAAAW0NvbnRlbnRfVHlwZXNdLnhtbFBL&#10;AQItABQABgAIAAAAIQA4/SH/1gAAAJQBAAALAAAAAAAAAAAAAAAAAC8BAABfcmVscy8ucmVsc1BL&#10;AQItABQABgAIAAAAIQCjeANtsAEAAEgDAAAOAAAAAAAAAAAAAAAAAC4CAABkcnMvZTJvRG9jLnht&#10;bFBLAQItABQABgAIAAAAIQBpGAfE3gAAAA4BAAAPAAAAAAAAAAAAAAAAAAoEAABkcnMvZG93bnJl&#10;di54bWxQSwUGAAAAAAQABADzAAAAFQUAAAAA&#10;">
              <w10:wrap anchorx="page" anchory="page"/>
            </v:line>
          </w:pict>
        </mc:Fallback>
      </mc:AlternateContent>
    </w:r>
    <w:r w:rsidR="008F6892">
      <w:t xml:space="preserve">Page </w:t>
    </w:r>
    <w:r w:rsidR="008F6892">
      <w:rPr>
        <w:rStyle w:val="PageNumber"/>
        <w:rFonts w:cs="Calibri"/>
        <w:bCs/>
        <w:i w:val="0"/>
      </w:rPr>
      <w:fldChar w:fldCharType="begin"/>
    </w:r>
    <w:r w:rsidR="008F6892">
      <w:rPr>
        <w:rStyle w:val="PageNumber"/>
        <w:rFonts w:cs="Calibri"/>
        <w:bCs/>
        <w:i w:val="0"/>
      </w:rPr>
      <w:instrText xml:space="preserve"> PAGE </w:instrText>
    </w:r>
    <w:r w:rsidR="008F6892">
      <w:rPr>
        <w:rStyle w:val="PageNumber"/>
        <w:rFonts w:cs="Calibri"/>
        <w:bCs/>
        <w:i w:val="0"/>
      </w:rPr>
      <w:fldChar w:fldCharType="separate"/>
    </w:r>
    <w:r w:rsidR="008F6892">
      <w:rPr>
        <w:rStyle w:val="PageNumber"/>
        <w:rFonts w:cs="Calibri"/>
        <w:bCs/>
        <w:i w:val="0"/>
        <w:noProof/>
      </w:rPr>
      <w:t>2</w:t>
    </w:r>
    <w:r w:rsidR="008F6892">
      <w:rPr>
        <w:rStyle w:val="PageNumber"/>
        <w:rFonts w:cs="Calibri"/>
        <w:bCs/>
        <w:i w:val="0"/>
      </w:rPr>
      <w:fldChar w:fldCharType="end"/>
    </w:r>
    <w:r w:rsidR="008F6892">
      <w:tab/>
      <w:t>Kittelson &amp; Associates,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4227E" w14:textId="30EAE915" w:rsidR="007E6B63" w:rsidRPr="007E6B63" w:rsidRDefault="007E6B63">
    <w:pPr>
      <w:pStyle w:val="Footer"/>
      <w:rPr>
        <w:i/>
        <w:iCs/>
        <w:sz w:val="16"/>
        <w:szCs w:val="16"/>
      </w:rPr>
    </w:pPr>
    <w:r w:rsidRPr="004574BC">
      <w:rPr>
        <w:i/>
        <w:iCs/>
        <w:sz w:val="16"/>
        <w:szCs w:val="16"/>
      </w:rPr>
      <w:fldChar w:fldCharType="begin"/>
    </w:r>
    <w:r w:rsidRPr="004574BC">
      <w:rPr>
        <w:i/>
        <w:iCs/>
        <w:sz w:val="16"/>
        <w:szCs w:val="16"/>
      </w:rPr>
      <w:instrText xml:space="preserve"> DATE \@ "M/d/yyyy" </w:instrText>
    </w:r>
    <w:r w:rsidRPr="004574BC">
      <w:rPr>
        <w:i/>
        <w:iCs/>
        <w:sz w:val="16"/>
        <w:szCs w:val="16"/>
      </w:rPr>
      <w:fldChar w:fldCharType="separate"/>
    </w:r>
    <w:r w:rsidR="00403AB8">
      <w:rPr>
        <w:i/>
        <w:iCs/>
        <w:noProof/>
        <w:sz w:val="16"/>
        <w:szCs w:val="16"/>
      </w:rPr>
      <w:t>3/13/2023</w:t>
    </w:r>
    <w:r w:rsidRPr="004574BC">
      <w:rPr>
        <w:i/>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2719" w14:textId="2940170D" w:rsidR="004574BC" w:rsidRPr="004574BC" w:rsidRDefault="004574BC">
    <w:pPr>
      <w:pStyle w:val="Footer"/>
      <w:rPr>
        <w:i/>
        <w:iCs/>
        <w:sz w:val="16"/>
        <w:szCs w:val="16"/>
      </w:rPr>
    </w:pPr>
    <w:r w:rsidRPr="004574BC">
      <w:rPr>
        <w:i/>
        <w:iCs/>
        <w:sz w:val="16"/>
        <w:szCs w:val="16"/>
      </w:rPr>
      <w:fldChar w:fldCharType="begin"/>
    </w:r>
    <w:r w:rsidRPr="004574BC">
      <w:rPr>
        <w:i/>
        <w:iCs/>
        <w:sz w:val="16"/>
        <w:szCs w:val="16"/>
      </w:rPr>
      <w:instrText xml:space="preserve"> DATE \@ "M/d/yyyy" </w:instrText>
    </w:r>
    <w:r w:rsidRPr="004574BC">
      <w:rPr>
        <w:i/>
        <w:iCs/>
        <w:sz w:val="16"/>
        <w:szCs w:val="16"/>
      </w:rPr>
      <w:fldChar w:fldCharType="separate"/>
    </w:r>
    <w:r w:rsidR="00403AB8">
      <w:rPr>
        <w:i/>
        <w:iCs/>
        <w:noProof/>
        <w:sz w:val="16"/>
        <w:szCs w:val="16"/>
      </w:rPr>
      <w:t>3/13/2023</w:t>
    </w:r>
    <w:r w:rsidRPr="004574BC">
      <w:rPr>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4C89E" w14:textId="77777777" w:rsidR="00E326C4" w:rsidRDefault="00E326C4">
      <w:r>
        <w:separator/>
      </w:r>
    </w:p>
  </w:footnote>
  <w:footnote w:type="continuationSeparator" w:id="0">
    <w:p w14:paraId="5C55EA00" w14:textId="77777777" w:rsidR="00E326C4" w:rsidRDefault="00E326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67F2C" w14:textId="3DAF452B" w:rsidR="00BB01FE" w:rsidRDefault="004574BC">
    <w:r>
      <w:rPr>
        <w:noProof/>
      </w:rPr>
      <w:pict w14:anchorId="7C900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62360" o:spid="_x0000_s10243" type="#_x0000_t136" style="position:absolute;left:0;text-align:left;margin-left:0;margin-top:0;width:634pt;height:68pt;rotation:315;z-index:-251654144;mso-position-horizontal:center;mso-position-horizontal-relative:margin;mso-position-vertical:center;mso-position-vertical-relative:margin" o:allowincell="f" fillcolor="silver" stroked="f">
          <v:fill opacity=".5"/>
          <v:textpath style="font-family:&quot;Arial Black&quot;;font-size:48pt" string="EXPERT NOT RETAINED"/>
        </v:shape>
      </w:pict>
    </w:r>
    <w:r w:rsidR="00957714">
      <w:rPr>
        <w:noProof/>
      </w:rPr>
      <mc:AlternateContent>
        <mc:Choice Requires="wps">
          <w:drawing>
            <wp:anchor distT="4294967295" distB="4294967295" distL="114300" distR="114300" simplePos="0" relativeHeight="251658240" behindDoc="0" locked="0" layoutInCell="1" allowOverlap="1" wp14:anchorId="239C6D68" wp14:editId="431E0134">
              <wp:simplePos x="0" y="0"/>
              <wp:positionH relativeFrom="page">
                <wp:posOffset>914400</wp:posOffset>
              </wp:positionH>
              <wp:positionV relativeFrom="page">
                <wp:posOffset>783589</wp:posOffset>
              </wp:positionV>
              <wp:extent cx="6035040" cy="0"/>
              <wp:effectExtent l="0" t="0" r="22860" b="1905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B80A0" id="Line 15"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in,61.7pt" to="547.2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PNC1vrcAAAADAEAAA8AAABkcnMvZG93bnJldi54bWxMT9FK&#10;w0AQfBf8h2MFX4q9mAapMZciat58sVp83ebWJJjbS3PXNvr1bkHQt5mdYXamWE2uVwcaQ+fZwPU8&#10;AUVce9txY+DttbpaggoR2WLvmQx8UYBVeX5WYG79kV/osI6NkhAOORpoYxxyrUPdksMw9wOxaB9+&#10;dBiFjo22Ix4l3PU6TZIb7bBj+dDiQA8t1Z/rvTMQqg3tqu9ZPUveF42ndPf4/ITGXF5M93egIk3x&#10;zwyn+lIdSum09Xu2QfXCs0y2RAHpIgN1ciS3maDt70mXhf4/ovwBAAD//wMAUEsBAi0AFAAGAAgA&#10;AAAhALaDOJL+AAAA4QEAABMAAAAAAAAAAAAAAAAAAAAAAFtDb250ZW50X1R5cGVzXS54bWxQSwEC&#10;LQAUAAYACAAAACEAOP0h/9YAAACUAQAACwAAAAAAAAAAAAAAAAAvAQAAX3JlbHMvLnJlbHNQSwEC&#10;LQAUAAYACAAAACEAo3gDbbABAABIAwAADgAAAAAAAAAAAAAAAAAuAgAAZHJzL2Uyb0RvYy54bWxQ&#10;SwECLQAUAAYACAAAACEA80LW+twAAAAMAQAADwAAAAAAAAAAAAAAAAAKBAAAZHJzL2Rvd25yZXYu&#10;eG1sUEsFBgAAAAAEAAQA8wAAABMFAAAAAA==&#10;">
              <w10:wrap anchorx="page" anchory="page"/>
            </v:line>
          </w:pict>
        </mc:Fallback>
      </mc:AlternateContent>
    </w:r>
    <w:r w:rsidR="008F6892">
      <w:tab/>
      <w:t>Proposal for Professional Services</w:t>
    </w:r>
    <w:r w:rsidR="008F6892">
      <w:br/>
      <w:t xml:space="preserve">November 26, </w:t>
    </w:r>
    <w:proofErr w:type="gramStart"/>
    <w:r w:rsidR="008F6892">
      <w:t>2007</w:t>
    </w:r>
    <w:proofErr w:type="gramEnd"/>
    <w:r w:rsidR="008F6892">
      <w:tab/>
      <w:t>New proposal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26E1" w14:textId="655ABE4F" w:rsidR="00D43BA5" w:rsidRDefault="004574BC" w:rsidP="00D43BA5">
    <w:pPr>
      <w:pStyle w:val="Header"/>
      <w:jc w:val="right"/>
    </w:pPr>
    <w:r>
      <w:rPr>
        <w:noProof/>
      </w:rPr>
      <w:pict w14:anchorId="2D9FC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62361" o:spid="_x0000_s10244" type="#_x0000_t136" style="position:absolute;left:0;text-align:left;margin-left:0;margin-top:0;width:634pt;height:68pt;rotation:315;z-index:-251652096;mso-position-horizontal:center;mso-position-horizontal-relative:margin;mso-position-vertical:center;mso-position-vertical-relative:margin" o:allowincell="f" fillcolor="silver" stroked="f">
          <v:fill opacity=".5"/>
          <v:textpath style="font-family:&quot;Arial Black&quot;;font-size:48pt" string="EXPERT NOT RETAINED"/>
        </v:shape>
      </w:pict>
    </w:r>
    <w:r w:rsidR="00D43BA5">
      <w:tab/>
    </w:r>
    <w:r w:rsidR="00D43BA5">
      <w:tab/>
      <w:t>MARC A. BUTORAC, PE</w:t>
    </w:r>
    <w:r w:rsidR="00630B6E">
      <w:t>, PTOE, PMP</w:t>
    </w:r>
    <w:r w:rsidR="00D43BA5">
      <w:t xml:space="preserve"> / </w:t>
    </w:r>
    <w:r w:rsidR="00D43BA5" w:rsidRPr="00D43BA5">
      <w:rPr>
        <w:i/>
      </w:rPr>
      <w:t xml:space="preserve">Senior </w:t>
    </w:r>
    <w:r w:rsidR="00D43BA5" w:rsidRPr="00277E5A">
      <w:rPr>
        <w:i/>
      </w:rPr>
      <w:t>Principal Engineer</w:t>
    </w:r>
  </w:p>
  <w:p w14:paraId="7082322B" w14:textId="77777777" w:rsidR="00D43BA5" w:rsidRDefault="00D43BA5" w:rsidP="00D43BA5">
    <w:pPr>
      <w:pStyle w:val="Header"/>
      <w:jc w:val="right"/>
    </w:pPr>
    <w:r>
      <w:t xml:space="preserve">Page </w:t>
    </w:r>
    <w:r>
      <w:fldChar w:fldCharType="begin"/>
    </w:r>
    <w:r>
      <w:instrText xml:space="preserve"> PAGE   \* MERGEFORMAT </w:instrText>
    </w:r>
    <w:r>
      <w:fldChar w:fldCharType="separate"/>
    </w:r>
    <w:r w:rsidR="00BC5304">
      <w:rPr>
        <w:noProof/>
      </w:rPr>
      <w:t>3</w:t>
    </w:r>
    <w:r>
      <w:rPr>
        <w:noProof/>
      </w:rPr>
      <w:fldChar w:fldCharType="end"/>
    </w:r>
  </w:p>
  <w:p w14:paraId="4DCB90CF" w14:textId="77777777" w:rsidR="00D43BA5" w:rsidRPr="00D43BA5" w:rsidRDefault="00D43BA5">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D47" w14:textId="678D3BF4" w:rsidR="004574BC" w:rsidRDefault="004574BC">
    <w:pPr>
      <w:pStyle w:val="Header"/>
    </w:pPr>
    <w:r>
      <w:rPr>
        <w:noProof/>
      </w:rPr>
      <w:pict w14:anchorId="095A4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962359" o:spid="_x0000_s10242" type="#_x0000_t136" style="position:absolute;left:0;text-align:left;margin-left:0;margin-top:0;width:634pt;height:68pt;rotation:315;z-index:-251656192;mso-position-horizontal:center;mso-position-horizontal-relative:margin;mso-position-vertical:center;mso-position-vertical-relative:margin" o:allowincell="f" fillcolor="silver" stroked="f">
          <v:fill opacity=".5"/>
          <v:textpath style="font-family:&quot;Arial Black&quot;;font-size:48pt" string="EXPERT NOT RETAIN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640E1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F52EAEF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CC043DF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434C27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13879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84CCF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0E5E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1AE55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E2C9C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ADAB8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992A54"/>
    <w:multiLevelType w:val="hybridMultilevel"/>
    <w:tmpl w:val="3138B636"/>
    <w:lvl w:ilvl="0" w:tplc="4EFEE768">
      <w:start w:val="1"/>
      <w:numFmt w:val="bullet"/>
      <w:lvlText w:val=""/>
      <w:lvlJc w:val="left"/>
      <w:pPr>
        <w:tabs>
          <w:tab w:val="num" w:pos="936"/>
        </w:tabs>
        <w:ind w:left="936" w:hanging="216"/>
      </w:pPr>
      <w:rPr>
        <w:rFonts w:ascii="Wingdings" w:hAnsi="Wingdings" w:hint="default"/>
        <w:caps w:val="0"/>
        <w:strike w:val="0"/>
        <w:dstrike w:val="0"/>
        <w:vanish w:val="0"/>
        <w:color w:val="993300"/>
        <w:effect w:val="none"/>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A11C30"/>
    <w:multiLevelType w:val="hybridMultilevel"/>
    <w:tmpl w:val="4996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3A4AF2"/>
    <w:multiLevelType w:val="hybridMultilevel"/>
    <w:tmpl w:val="D85612C6"/>
    <w:lvl w:ilvl="0" w:tplc="A2A29F80">
      <w:start w:val="1"/>
      <w:numFmt w:val="decimal"/>
      <w:pStyle w:val="Publications"/>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1C3C8A"/>
    <w:multiLevelType w:val="hybridMultilevel"/>
    <w:tmpl w:val="8F6A57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4625B"/>
    <w:multiLevelType w:val="hybridMultilevel"/>
    <w:tmpl w:val="7CC64B30"/>
    <w:lvl w:ilvl="0" w:tplc="CB725D16">
      <w:start w:val="1"/>
      <w:numFmt w:val="bullet"/>
      <w:lvlText w:val=""/>
      <w:lvlJc w:val="left"/>
      <w:pPr>
        <w:tabs>
          <w:tab w:val="num" w:pos="144"/>
        </w:tabs>
        <w:ind w:left="576" w:hanging="432"/>
      </w:pPr>
      <w:rPr>
        <w:rFonts w:ascii="Wingdings" w:hAnsi="Wingdings" w:hint="default"/>
        <w:color w:val="993300"/>
        <w:sz w:val="2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5" w15:restartNumberingAfterBreak="0">
    <w:nsid w:val="5539296B"/>
    <w:multiLevelType w:val="hybridMultilevel"/>
    <w:tmpl w:val="2E722508"/>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565E2AD5"/>
    <w:multiLevelType w:val="hybridMultilevel"/>
    <w:tmpl w:val="A5CE7530"/>
    <w:lvl w:ilvl="0" w:tplc="34FE6B2C">
      <w:start w:val="1"/>
      <w:numFmt w:val="bullet"/>
      <w:lvlText w:val=""/>
      <w:lvlJc w:val="left"/>
      <w:pPr>
        <w:tabs>
          <w:tab w:val="num" w:pos="432"/>
        </w:tabs>
        <w:ind w:left="864" w:hanging="432"/>
      </w:pPr>
      <w:rPr>
        <w:rFonts w:ascii="Wingdings" w:hAnsi="Wingdings" w:hint="default"/>
        <w:color w:val="993300"/>
        <w:sz w:val="28"/>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57D5572A"/>
    <w:multiLevelType w:val="multilevel"/>
    <w:tmpl w:val="9926CB50"/>
    <w:lvl w:ilvl="0">
      <w:start w:val="1"/>
      <w:numFmt w:val="bullet"/>
      <w:lvlText w:val=""/>
      <w:lvlJc w:val="left"/>
      <w:pPr>
        <w:tabs>
          <w:tab w:val="num" w:pos="864"/>
        </w:tabs>
        <w:ind w:left="864" w:hanging="144"/>
      </w:pPr>
      <w:rPr>
        <w:rFonts w:ascii="Wingdings" w:hAnsi="Wingdings" w:hint="default"/>
        <w:caps w:val="0"/>
        <w:strike w:val="0"/>
        <w:dstrike w:val="0"/>
        <w:vanish w:val="0"/>
        <w:color w:val="993300"/>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45579F"/>
    <w:multiLevelType w:val="hybridMultilevel"/>
    <w:tmpl w:val="60A4FAFE"/>
    <w:lvl w:ilvl="0" w:tplc="04090001">
      <w:start w:val="1"/>
      <w:numFmt w:val="bullet"/>
      <w:lvlText w:val=""/>
      <w:lvlJc w:val="left"/>
      <w:pPr>
        <w:ind w:left="720" w:hanging="360"/>
      </w:pPr>
      <w:rPr>
        <w:rFonts w:ascii="Symbol" w:hAnsi="Symbol" w:hint="default"/>
      </w:rPr>
    </w:lvl>
    <w:lvl w:ilvl="1" w:tplc="A81A7352">
      <w:start w:val="1"/>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56CEC"/>
    <w:multiLevelType w:val="hybridMultilevel"/>
    <w:tmpl w:val="8612D7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DF5233B"/>
    <w:multiLevelType w:val="multilevel"/>
    <w:tmpl w:val="2E18D26A"/>
    <w:lvl w:ilvl="0">
      <w:start w:val="1"/>
      <w:numFmt w:val="bullet"/>
      <w:lvlText w:val=""/>
      <w:lvlJc w:val="left"/>
      <w:pPr>
        <w:tabs>
          <w:tab w:val="num" w:pos="1728"/>
        </w:tabs>
        <w:ind w:left="1728" w:hanging="288"/>
      </w:pPr>
      <w:rPr>
        <w:rFonts w:ascii="Wingdings" w:hAnsi="Wingdings" w:hint="default"/>
        <w:caps w:val="0"/>
        <w:strike w:val="0"/>
        <w:dstrike w:val="0"/>
        <w:vanish w:val="0"/>
        <w:color w:val="F1B053"/>
        <w:effect w:val="none"/>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29630366">
    <w:abstractNumId w:val="14"/>
  </w:num>
  <w:num w:numId="2" w16cid:durableId="658582896">
    <w:abstractNumId w:val="16"/>
  </w:num>
  <w:num w:numId="3" w16cid:durableId="1431197752">
    <w:abstractNumId w:val="15"/>
  </w:num>
  <w:num w:numId="4" w16cid:durableId="1625848724">
    <w:abstractNumId w:val="9"/>
  </w:num>
  <w:num w:numId="5" w16cid:durableId="872036135">
    <w:abstractNumId w:val="7"/>
  </w:num>
  <w:num w:numId="6" w16cid:durableId="652760870">
    <w:abstractNumId w:val="6"/>
  </w:num>
  <w:num w:numId="7" w16cid:durableId="16275372">
    <w:abstractNumId w:val="5"/>
  </w:num>
  <w:num w:numId="8" w16cid:durableId="1200043687">
    <w:abstractNumId w:val="4"/>
  </w:num>
  <w:num w:numId="9" w16cid:durableId="1694106906">
    <w:abstractNumId w:val="8"/>
  </w:num>
  <w:num w:numId="10" w16cid:durableId="1553956469">
    <w:abstractNumId w:val="3"/>
  </w:num>
  <w:num w:numId="11" w16cid:durableId="1411347979">
    <w:abstractNumId w:val="2"/>
  </w:num>
  <w:num w:numId="12" w16cid:durableId="885221468">
    <w:abstractNumId w:val="1"/>
  </w:num>
  <w:num w:numId="13" w16cid:durableId="170071079">
    <w:abstractNumId w:val="0"/>
  </w:num>
  <w:num w:numId="14" w16cid:durableId="652949698">
    <w:abstractNumId w:val="10"/>
  </w:num>
  <w:num w:numId="15" w16cid:durableId="1786077810">
    <w:abstractNumId w:val="20"/>
  </w:num>
  <w:num w:numId="16" w16cid:durableId="956718843">
    <w:abstractNumId w:val="17"/>
  </w:num>
  <w:num w:numId="17" w16cid:durableId="700206096">
    <w:abstractNumId w:val="19"/>
  </w:num>
  <w:num w:numId="18" w16cid:durableId="1298993129">
    <w:abstractNumId w:val="18"/>
  </w:num>
  <w:num w:numId="19" w16cid:durableId="1988588798">
    <w:abstractNumId w:val="12"/>
  </w:num>
  <w:num w:numId="20" w16cid:durableId="2136024913">
    <w:abstractNumId w:val="12"/>
    <w:lvlOverride w:ilvl="0">
      <w:startOverride w:val="1"/>
    </w:lvlOverride>
  </w:num>
  <w:num w:numId="21" w16cid:durableId="2082481326">
    <w:abstractNumId w:val="13"/>
  </w:num>
  <w:num w:numId="22" w16cid:durableId="1401901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7"/>
  <w:drawingGridVerticalSpacing w:val="187"/>
  <w:noPunctuationKerning/>
  <w:characterSpacingControl w:val="doNotCompress"/>
  <w:saveInvalidXml/>
  <w:ignoreMixedContent/>
  <w:hdrShapeDefaults>
    <o:shapedefaults v:ext="edit" spidmax="10245"/>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1FE"/>
    <w:rsid w:val="000305BE"/>
    <w:rsid w:val="00042F8A"/>
    <w:rsid w:val="000635D5"/>
    <w:rsid w:val="000D159B"/>
    <w:rsid w:val="000E48DC"/>
    <w:rsid w:val="000F1BB5"/>
    <w:rsid w:val="00105483"/>
    <w:rsid w:val="001122C5"/>
    <w:rsid w:val="00113272"/>
    <w:rsid w:val="00117701"/>
    <w:rsid w:val="001305BA"/>
    <w:rsid w:val="00165FF4"/>
    <w:rsid w:val="00177047"/>
    <w:rsid w:val="001802C5"/>
    <w:rsid w:val="001A4E4D"/>
    <w:rsid w:val="001A6580"/>
    <w:rsid w:val="001A6A33"/>
    <w:rsid w:val="001B574E"/>
    <w:rsid w:val="001F6426"/>
    <w:rsid w:val="00202651"/>
    <w:rsid w:val="00203B6C"/>
    <w:rsid w:val="002117E4"/>
    <w:rsid w:val="002120B1"/>
    <w:rsid w:val="002209F2"/>
    <w:rsid w:val="002416F6"/>
    <w:rsid w:val="00247EB4"/>
    <w:rsid w:val="00257D7B"/>
    <w:rsid w:val="00263A16"/>
    <w:rsid w:val="00264B95"/>
    <w:rsid w:val="00272A59"/>
    <w:rsid w:val="0027356D"/>
    <w:rsid w:val="0027646E"/>
    <w:rsid w:val="0028341C"/>
    <w:rsid w:val="002836BF"/>
    <w:rsid w:val="002A5B36"/>
    <w:rsid w:val="002B1C72"/>
    <w:rsid w:val="002C348A"/>
    <w:rsid w:val="002E506A"/>
    <w:rsid w:val="002E7C24"/>
    <w:rsid w:val="00303467"/>
    <w:rsid w:val="00304DB3"/>
    <w:rsid w:val="0031429C"/>
    <w:rsid w:val="00314BB2"/>
    <w:rsid w:val="0033412D"/>
    <w:rsid w:val="00344D31"/>
    <w:rsid w:val="00347263"/>
    <w:rsid w:val="00380BEF"/>
    <w:rsid w:val="003A35DB"/>
    <w:rsid w:val="003B5326"/>
    <w:rsid w:val="003B6F75"/>
    <w:rsid w:val="003C4179"/>
    <w:rsid w:val="003E1073"/>
    <w:rsid w:val="003E1D50"/>
    <w:rsid w:val="003E531E"/>
    <w:rsid w:val="003E5D73"/>
    <w:rsid w:val="00403AB8"/>
    <w:rsid w:val="00411D2B"/>
    <w:rsid w:val="004139C1"/>
    <w:rsid w:val="00435604"/>
    <w:rsid w:val="0045368B"/>
    <w:rsid w:val="004546B7"/>
    <w:rsid w:val="004574BC"/>
    <w:rsid w:val="00470543"/>
    <w:rsid w:val="00471E22"/>
    <w:rsid w:val="0047278E"/>
    <w:rsid w:val="004818A4"/>
    <w:rsid w:val="00487C68"/>
    <w:rsid w:val="004C272A"/>
    <w:rsid w:val="004F5187"/>
    <w:rsid w:val="00500EBE"/>
    <w:rsid w:val="0050447A"/>
    <w:rsid w:val="005103CE"/>
    <w:rsid w:val="00542ED7"/>
    <w:rsid w:val="00543FA0"/>
    <w:rsid w:val="00547F2B"/>
    <w:rsid w:val="00553947"/>
    <w:rsid w:val="005621DF"/>
    <w:rsid w:val="00564700"/>
    <w:rsid w:val="0057030C"/>
    <w:rsid w:val="00573D2E"/>
    <w:rsid w:val="00576903"/>
    <w:rsid w:val="00587B0F"/>
    <w:rsid w:val="00591280"/>
    <w:rsid w:val="00597528"/>
    <w:rsid w:val="005A4D28"/>
    <w:rsid w:val="005B4AC2"/>
    <w:rsid w:val="005C6DE1"/>
    <w:rsid w:val="005D1DB9"/>
    <w:rsid w:val="005E0CBB"/>
    <w:rsid w:val="005E4607"/>
    <w:rsid w:val="005E6552"/>
    <w:rsid w:val="0061616B"/>
    <w:rsid w:val="00622AE6"/>
    <w:rsid w:val="00622DA4"/>
    <w:rsid w:val="0062367D"/>
    <w:rsid w:val="00630B6E"/>
    <w:rsid w:val="006428BE"/>
    <w:rsid w:val="00651527"/>
    <w:rsid w:val="006643A9"/>
    <w:rsid w:val="00670EEB"/>
    <w:rsid w:val="006726EC"/>
    <w:rsid w:val="00674075"/>
    <w:rsid w:val="0068344A"/>
    <w:rsid w:val="00687D26"/>
    <w:rsid w:val="006950E8"/>
    <w:rsid w:val="006974D0"/>
    <w:rsid w:val="006A3BEA"/>
    <w:rsid w:val="006B1A36"/>
    <w:rsid w:val="006D5161"/>
    <w:rsid w:val="006F64CD"/>
    <w:rsid w:val="007474E5"/>
    <w:rsid w:val="0075687B"/>
    <w:rsid w:val="00762D80"/>
    <w:rsid w:val="00774580"/>
    <w:rsid w:val="0077497D"/>
    <w:rsid w:val="00782070"/>
    <w:rsid w:val="007851E3"/>
    <w:rsid w:val="007A6349"/>
    <w:rsid w:val="007B1F4B"/>
    <w:rsid w:val="007C3BFE"/>
    <w:rsid w:val="007C6A5E"/>
    <w:rsid w:val="007D3EC0"/>
    <w:rsid w:val="007E6B63"/>
    <w:rsid w:val="007F7712"/>
    <w:rsid w:val="008019B2"/>
    <w:rsid w:val="00812951"/>
    <w:rsid w:val="0081647B"/>
    <w:rsid w:val="008529E8"/>
    <w:rsid w:val="0086229E"/>
    <w:rsid w:val="0088499B"/>
    <w:rsid w:val="008944F2"/>
    <w:rsid w:val="008B6BEE"/>
    <w:rsid w:val="008E3377"/>
    <w:rsid w:val="008F6680"/>
    <w:rsid w:val="008F6892"/>
    <w:rsid w:val="0090247E"/>
    <w:rsid w:val="009168A5"/>
    <w:rsid w:val="0092197A"/>
    <w:rsid w:val="00921AB2"/>
    <w:rsid w:val="009247C1"/>
    <w:rsid w:val="00927EC8"/>
    <w:rsid w:val="0093286D"/>
    <w:rsid w:val="009420DC"/>
    <w:rsid w:val="009528C0"/>
    <w:rsid w:val="00954067"/>
    <w:rsid w:val="00957714"/>
    <w:rsid w:val="00973B91"/>
    <w:rsid w:val="009910A3"/>
    <w:rsid w:val="009A3D1C"/>
    <w:rsid w:val="009A54E9"/>
    <w:rsid w:val="009C5952"/>
    <w:rsid w:val="009E6B51"/>
    <w:rsid w:val="009F31F6"/>
    <w:rsid w:val="00A0333A"/>
    <w:rsid w:val="00A04700"/>
    <w:rsid w:val="00A07FCD"/>
    <w:rsid w:val="00A2308A"/>
    <w:rsid w:val="00A33F03"/>
    <w:rsid w:val="00A41AB4"/>
    <w:rsid w:val="00A50DC7"/>
    <w:rsid w:val="00A64455"/>
    <w:rsid w:val="00A83A07"/>
    <w:rsid w:val="00AB4299"/>
    <w:rsid w:val="00AC0076"/>
    <w:rsid w:val="00AD27F1"/>
    <w:rsid w:val="00AD2C88"/>
    <w:rsid w:val="00AF1EA6"/>
    <w:rsid w:val="00AF22C6"/>
    <w:rsid w:val="00AF36DD"/>
    <w:rsid w:val="00AF6459"/>
    <w:rsid w:val="00B04F16"/>
    <w:rsid w:val="00B23786"/>
    <w:rsid w:val="00B27060"/>
    <w:rsid w:val="00B35E86"/>
    <w:rsid w:val="00B51346"/>
    <w:rsid w:val="00B54720"/>
    <w:rsid w:val="00B71F5F"/>
    <w:rsid w:val="00B72A36"/>
    <w:rsid w:val="00B7326E"/>
    <w:rsid w:val="00B937AE"/>
    <w:rsid w:val="00BB01FE"/>
    <w:rsid w:val="00BB030F"/>
    <w:rsid w:val="00BB417B"/>
    <w:rsid w:val="00BC080B"/>
    <w:rsid w:val="00BC5304"/>
    <w:rsid w:val="00BC6C77"/>
    <w:rsid w:val="00BD6D04"/>
    <w:rsid w:val="00BD6FE3"/>
    <w:rsid w:val="00BE1921"/>
    <w:rsid w:val="00BE6A05"/>
    <w:rsid w:val="00BE72C7"/>
    <w:rsid w:val="00BF1AD7"/>
    <w:rsid w:val="00C00653"/>
    <w:rsid w:val="00C03A45"/>
    <w:rsid w:val="00C15CFF"/>
    <w:rsid w:val="00C16AD1"/>
    <w:rsid w:val="00C32660"/>
    <w:rsid w:val="00C35467"/>
    <w:rsid w:val="00C4093D"/>
    <w:rsid w:val="00C449D7"/>
    <w:rsid w:val="00C75AA5"/>
    <w:rsid w:val="00C7616A"/>
    <w:rsid w:val="00C80355"/>
    <w:rsid w:val="00C91FD0"/>
    <w:rsid w:val="00D14C9B"/>
    <w:rsid w:val="00D20D1D"/>
    <w:rsid w:val="00D220FE"/>
    <w:rsid w:val="00D36029"/>
    <w:rsid w:val="00D4102D"/>
    <w:rsid w:val="00D43BA5"/>
    <w:rsid w:val="00D51E82"/>
    <w:rsid w:val="00D63D45"/>
    <w:rsid w:val="00D7441B"/>
    <w:rsid w:val="00DB61AF"/>
    <w:rsid w:val="00DD3FBA"/>
    <w:rsid w:val="00DF19A3"/>
    <w:rsid w:val="00E11792"/>
    <w:rsid w:val="00E1627A"/>
    <w:rsid w:val="00E326C4"/>
    <w:rsid w:val="00E63EEA"/>
    <w:rsid w:val="00E71BED"/>
    <w:rsid w:val="00EA319D"/>
    <w:rsid w:val="00EB2F89"/>
    <w:rsid w:val="00EC3CA5"/>
    <w:rsid w:val="00EC3E37"/>
    <w:rsid w:val="00EE1AF5"/>
    <w:rsid w:val="00EF0288"/>
    <w:rsid w:val="00F076BD"/>
    <w:rsid w:val="00F32A6B"/>
    <w:rsid w:val="00F424A2"/>
    <w:rsid w:val="00F55854"/>
    <w:rsid w:val="00F66B40"/>
    <w:rsid w:val="00F75C09"/>
    <w:rsid w:val="00FA6A16"/>
    <w:rsid w:val="00FB3DB2"/>
    <w:rsid w:val="00FD596B"/>
    <w:rsid w:val="00FD657F"/>
    <w:rsid w:val="00FF1803"/>
    <w:rsid w:val="00FF1F16"/>
  </w:rsids>
  <m:mathPr>
    <m:mathFont m:val="Cambria Math"/>
    <m:brkBin m:val="before"/>
    <m:brkBinSub m:val="--"/>
    <m:smallFrac m:val="0"/>
    <m:dispDef/>
    <m:lMargin m:val="0"/>
    <m:rMargin m:val="0"/>
    <m:defJc m:val="centerGroup"/>
    <m:wrapIndent m:val="1440"/>
    <m:intLim m:val="subSup"/>
    <m:naryLim m:val="undOvr"/>
  </m:mathPr>
  <w:attachedSchema w:val="http://resumes.kittelson.com"/>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5"/>
    <o:shapelayout v:ext="edit">
      <o:idmap v:ext="edit" data="1"/>
    </o:shapelayout>
  </w:shapeDefaults>
  <w:decimalSymbol w:val="."/>
  <w:listSeparator w:val=","/>
  <w14:docId w14:val="71B669DC"/>
  <w14:defaultImageDpi w14:val="0"/>
  <w15:docId w15:val="{AC668466-5122-4672-9A57-13163E8B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A45"/>
    <w:pPr>
      <w:spacing w:after="240" w:line="300" w:lineRule="exact"/>
      <w:jc w:val="both"/>
    </w:pPr>
    <w:rPr>
      <w:sz w:val="18"/>
      <w:szCs w:val="24"/>
    </w:rPr>
  </w:style>
  <w:style w:type="paragraph" w:styleId="Heading1">
    <w:name w:val="heading 1"/>
    <w:basedOn w:val="Normal"/>
    <w:next w:val="Normal"/>
    <w:link w:val="Heading1Char"/>
    <w:uiPriority w:val="9"/>
    <w:qFormat/>
    <w:pPr>
      <w:keepNext/>
      <w:tabs>
        <w:tab w:val="left" w:pos="720"/>
      </w:tabs>
      <w:spacing w:before="480"/>
      <w:jc w:val="left"/>
      <w:outlineLvl w:val="0"/>
    </w:pPr>
    <w:rPr>
      <w:rFonts w:cs="Arial"/>
      <w:b/>
      <w:bCs/>
      <w:kern w:val="32"/>
      <w:sz w:val="32"/>
      <w:szCs w:val="32"/>
    </w:rPr>
  </w:style>
  <w:style w:type="paragraph" w:styleId="Heading2">
    <w:name w:val="heading 2"/>
    <w:basedOn w:val="Normal"/>
    <w:next w:val="Normal"/>
    <w:link w:val="Heading2Char"/>
    <w:uiPriority w:val="9"/>
    <w:qFormat/>
    <w:pPr>
      <w:keepNext/>
      <w:spacing w:after="0"/>
      <w:jc w:val="left"/>
      <w:outlineLvl w:val="1"/>
    </w:pPr>
    <w:rPr>
      <w:rFonts w:cs="Arial"/>
      <w:b/>
      <w:bCs/>
      <w:iCs/>
      <w:caps/>
      <w:color w:val="5F5F5F"/>
      <w:sz w:val="24"/>
      <w:szCs w:val="28"/>
    </w:rPr>
  </w:style>
  <w:style w:type="paragraph" w:styleId="Heading3">
    <w:name w:val="heading 3"/>
    <w:basedOn w:val="Normal"/>
    <w:next w:val="Normal"/>
    <w:link w:val="Heading3Char"/>
    <w:uiPriority w:val="9"/>
    <w:qFormat/>
    <w:pPr>
      <w:keepNext/>
      <w:spacing w:before="360" w:after="120"/>
      <w:jc w:val="left"/>
      <w:outlineLvl w:val="2"/>
    </w:pPr>
    <w:rPr>
      <w:rFonts w:cs="Arial"/>
      <w:b/>
      <w:bCs/>
      <w:i/>
      <w:sz w:val="20"/>
      <w:szCs w:val="26"/>
    </w:rPr>
  </w:style>
  <w:style w:type="paragraph" w:styleId="Heading4">
    <w:name w:val="heading 4"/>
    <w:basedOn w:val="Normal"/>
    <w:next w:val="Normal"/>
    <w:link w:val="Heading4Char"/>
    <w:uiPriority w:val="9"/>
    <w:qFormat/>
    <w:pPr>
      <w:keepNext/>
      <w:spacing w:before="240" w:after="120"/>
      <w:jc w:val="left"/>
      <w:outlineLvl w:val="3"/>
    </w:pPr>
    <w:rPr>
      <w:bCs/>
      <w:i/>
      <w:szCs w:val="28"/>
    </w:rPr>
  </w:style>
  <w:style w:type="paragraph" w:styleId="Heading5">
    <w:name w:val="heading 5"/>
    <w:basedOn w:val="Normal"/>
    <w:next w:val="Normal"/>
    <w:link w:val="Heading5Char"/>
    <w:uiPriority w:val="9"/>
    <w:qFormat/>
    <w:pPr>
      <w:spacing w:before="240" w:after="60"/>
      <w:jc w:val="left"/>
      <w:outlineLvl w:val="4"/>
    </w:pPr>
    <w:rPr>
      <w:b/>
      <w:bCs/>
      <w:iCs/>
      <w:szCs w:val="26"/>
    </w:rPr>
  </w:style>
  <w:style w:type="paragraph" w:styleId="Heading6">
    <w:name w:val="heading 6"/>
    <w:basedOn w:val="Normal"/>
    <w:next w:val="Normal"/>
    <w:link w:val="Heading6Char"/>
    <w:uiPriority w:val="9"/>
    <w:qFormat/>
    <w:pPr>
      <w:spacing w:before="240" w:after="60"/>
      <w:jc w:val="left"/>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Calibri" w:hAnsi="Calibri" w:cs="Times New Roman"/>
      <w:b/>
      <w:caps/>
      <w:color w:val="5F5F5F"/>
      <w:sz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paragraph" w:customStyle="1" w:styleId="SidebarText">
    <w:name w:val="Sidebar Text"/>
    <w:rsid w:val="006D5161"/>
    <w:pPr>
      <w:spacing w:after="60" w:line="200" w:lineRule="exact"/>
    </w:pPr>
    <w:rPr>
      <w:rFonts w:cs="Tahoma"/>
      <w:iCs/>
      <w:sz w:val="16"/>
    </w:rPr>
  </w:style>
  <w:style w:type="paragraph" w:customStyle="1" w:styleId="FooterKAI">
    <w:name w:val="Footer KAI"/>
    <w:pPr>
      <w:tabs>
        <w:tab w:val="center" w:pos="9072"/>
      </w:tabs>
      <w:spacing w:before="120"/>
      <w:ind w:left="576"/>
    </w:pPr>
    <w:rPr>
      <w:rFonts w:cs="Arial"/>
      <w:bCs/>
      <w:i/>
      <w:color w:val="4D4D4D"/>
      <w:sz w:val="16"/>
      <w:szCs w:val="26"/>
    </w:rPr>
  </w:style>
  <w:style w:type="paragraph" w:customStyle="1" w:styleId="HeaderKAI">
    <w:name w:val="Header KAI"/>
    <w:pPr>
      <w:tabs>
        <w:tab w:val="right" w:pos="9504"/>
      </w:tabs>
    </w:pPr>
    <w:rPr>
      <w:i/>
      <w:color w:val="4D4D4D"/>
      <w:sz w:val="16"/>
      <w:szCs w:val="24"/>
    </w:rPr>
  </w:style>
  <w:style w:type="character" w:styleId="PageNumber">
    <w:name w:val="page number"/>
    <w:basedOn w:val="DefaultParagraphFont"/>
    <w:uiPriority w:val="99"/>
    <w:rPr>
      <w:rFonts w:ascii="Calibri" w:hAnsi="Calibri" w:cs="Times New Roman"/>
      <w:i/>
      <w:color w:val="000000"/>
      <w:sz w:val="16"/>
    </w:rPr>
  </w:style>
  <w:style w:type="paragraph" w:styleId="Caption">
    <w:name w:val="caption"/>
    <w:basedOn w:val="Normal"/>
    <w:next w:val="Normal"/>
    <w:uiPriority w:val="35"/>
    <w:qFormat/>
    <w:rPr>
      <w:b/>
      <w:bCs/>
      <w:sz w:val="20"/>
      <w:szCs w:val="20"/>
    </w:rPr>
  </w:style>
  <w:style w:type="paragraph" w:styleId="TOC1">
    <w:name w:val="toc 1"/>
    <w:basedOn w:val="Normal"/>
    <w:next w:val="Normal"/>
    <w:uiPriority w:val="39"/>
    <w:pPr>
      <w:spacing w:before="120"/>
    </w:pPr>
    <w:rPr>
      <w:b/>
    </w:rPr>
  </w:style>
  <w:style w:type="paragraph" w:styleId="TOC2">
    <w:name w:val="toc 2"/>
    <w:basedOn w:val="Normal"/>
    <w:next w:val="Normal"/>
    <w:uiPriority w:val="39"/>
    <w:pPr>
      <w:ind w:left="220"/>
    </w:pPr>
  </w:style>
  <w:style w:type="table" w:styleId="TableGrid">
    <w:name w:val="Table Grid"/>
    <w:basedOn w:val="TableNormal"/>
    <w:uiPriority w:val="59"/>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rsid w:val="0031429C"/>
    <w:pPr>
      <w:jc w:val="left"/>
    </w:pPr>
    <w:rPr>
      <w:i/>
    </w:rPr>
  </w:style>
  <w:style w:type="paragraph" w:customStyle="1" w:styleId="RelevantWorkExperience">
    <w:name w:val="Relevant Work Experience"/>
    <w:basedOn w:val="Heading2"/>
    <w:pPr>
      <w:spacing w:after="120"/>
    </w:pPr>
    <w:rPr>
      <w:color w:val="C0C0C0"/>
    </w:rPr>
  </w:style>
  <w:style w:type="paragraph" w:customStyle="1" w:styleId="NameforResume">
    <w:name w:val="Name for Resume"/>
    <w:basedOn w:val="Heading2"/>
    <w:link w:val="NameforResumeChar"/>
    <w:rsid w:val="0031429C"/>
    <w:pPr>
      <w:keepNext w:val="0"/>
      <w:spacing w:before="120"/>
    </w:pPr>
    <w:rPr>
      <w:b w:val="0"/>
      <w:sz w:val="28"/>
    </w:rPr>
  </w:style>
  <w:style w:type="character" w:customStyle="1" w:styleId="NameforResumeChar">
    <w:name w:val="Name for Resume Char"/>
    <w:link w:val="NameforResume"/>
    <w:locked/>
    <w:rsid w:val="0031429C"/>
    <w:rPr>
      <w:caps/>
      <w:color w:val="5F5F5F"/>
      <w:sz w:val="28"/>
    </w:rPr>
  </w:style>
  <w:style w:type="paragraph" w:customStyle="1" w:styleId="SubHeader">
    <w:name w:val="SubHeader"/>
    <w:basedOn w:val="Normal"/>
    <w:next w:val="Normal"/>
    <w:rsid w:val="0031429C"/>
    <w:pPr>
      <w:pBdr>
        <w:bottom w:val="single" w:sz="4" w:space="1" w:color="C0C0C0"/>
      </w:pBdr>
      <w:spacing w:after="0"/>
      <w:jc w:val="left"/>
    </w:pPr>
    <w:rPr>
      <w:rFonts w:cs="Arial"/>
      <w:bCs/>
      <w:iCs/>
      <w:caps/>
      <w:color w:val="999999"/>
      <w:szCs w:val="28"/>
    </w:rPr>
  </w:style>
  <w:style w:type="paragraph" w:customStyle="1" w:styleId="REGISTRATIONSFORRESUME">
    <w:name w:val="REGISTRATIONS FOR RESUME"/>
    <w:basedOn w:val="NameforResume"/>
    <w:link w:val="REGISTRATIONSFORRESUMEChar"/>
    <w:pPr>
      <w:outlineLvl w:val="9"/>
    </w:pPr>
  </w:style>
  <w:style w:type="character" w:customStyle="1" w:styleId="REGISTRATIONSFORRESUMEChar">
    <w:name w:val="REGISTRATIONS FOR RESUME Char"/>
    <w:link w:val="REGISTRATIONSFORRESUME"/>
    <w:locked/>
    <w:rPr>
      <w:rFonts w:ascii="Calibri" w:hAnsi="Calibri"/>
      <w:b/>
      <w:caps/>
      <w:color w:val="5F5F5F"/>
      <w:sz w:val="28"/>
      <w:lang w:val="en-US" w:eastAsia="en-US"/>
    </w:rPr>
  </w:style>
  <w:style w:type="paragraph" w:styleId="BalloonText">
    <w:name w:val="Balloon Text"/>
    <w:basedOn w:val="Normal"/>
    <w:link w:val="BalloonTextChar"/>
    <w:uiPriority w:val="99"/>
    <w:rsid w:val="00F424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F424A2"/>
    <w:rPr>
      <w:rFonts w:ascii="Tahoma" w:hAnsi="Tahoma" w:cs="Tahoma"/>
      <w:sz w:val="16"/>
      <w:szCs w:val="16"/>
    </w:rPr>
  </w:style>
  <w:style w:type="paragraph" w:customStyle="1" w:styleId="Photo">
    <w:name w:val="Photo"/>
    <w:basedOn w:val="Normal"/>
    <w:qFormat/>
    <w:rsid w:val="00D14C9B"/>
    <w:pPr>
      <w:spacing w:after="100" w:afterAutospacing="1" w:line="240" w:lineRule="auto"/>
      <w:jc w:val="left"/>
    </w:pPr>
  </w:style>
  <w:style w:type="paragraph" w:customStyle="1" w:styleId="Begin">
    <w:name w:val="_Begin"/>
    <w:basedOn w:val="Normal"/>
    <w:qFormat/>
    <w:rsid w:val="0031429C"/>
    <w:pPr>
      <w:spacing w:after="0"/>
    </w:pPr>
    <w:rPr>
      <w:sz w:val="12"/>
    </w:rPr>
  </w:style>
  <w:style w:type="paragraph" w:customStyle="1" w:styleId="ProjectSubhead">
    <w:name w:val="Project Subhead"/>
    <w:basedOn w:val="SubHeader"/>
    <w:qFormat/>
    <w:rsid w:val="00380BEF"/>
    <w:rPr>
      <w:color w:val="595959" w:themeColor="text1" w:themeTint="A6"/>
      <w:sz w:val="20"/>
    </w:rPr>
  </w:style>
  <w:style w:type="paragraph" w:styleId="Header">
    <w:name w:val="header"/>
    <w:basedOn w:val="Normal"/>
    <w:link w:val="HeaderChar"/>
    <w:uiPriority w:val="99"/>
    <w:rsid w:val="003B6F7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B6F75"/>
    <w:rPr>
      <w:rFonts w:cs="Times New Roman"/>
      <w:sz w:val="24"/>
      <w:szCs w:val="24"/>
    </w:rPr>
  </w:style>
  <w:style w:type="paragraph" w:styleId="Footer">
    <w:name w:val="footer"/>
    <w:basedOn w:val="Normal"/>
    <w:link w:val="FooterChar"/>
    <w:uiPriority w:val="99"/>
    <w:rsid w:val="003B6F7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B6F75"/>
    <w:rPr>
      <w:rFonts w:cs="Times New Roman"/>
      <w:sz w:val="24"/>
      <w:szCs w:val="24"/>
    </w:rPr>
  </w:style>
  <w:style w:type="paragraph" w:styleId="ListParagraph">
    <w:name w:val="List Paragraph"/>
    <w:basedOn w:val="Normal"/>
    <w:uiPriority w:val="34"/>
    <w:qFormat/>
    <w:rsid w:val="00A07FCD"/>
    <w:pPr>
      <w:spacing w:after="200" w:line="276" w:lineRule="auto"/>
      <w:ind w:left="720"/>
      <w:contextualSpacing/>
      <w:jc w:val="left"/>
    </w:pPr>
    <w:rPr>
      <w:rFonts w:eastAsiaTheme="minorHAnsi" w:cs="Times New Roman"/>
      <w:sz w:val="22"/>
      <w:szCs w:val="22"/>
    </w:rPr>
  </w:style>
  <w:style w:type="paragraph" w:customStyle="1" w:styleId="Publications">
    <w:name w:val="Publications"/>
    <w:basedOn w:val="Normal"/>
    <w:link w:val="PublicationsChar"/>
    <w:qFormat/>
    <w:rsid w:val="00A07FCD"/>
    <w:pPr>
      <w:numPr>
        <w:numId w:val="19"/>
      </w:numPr>
      <w:autoSpaceDE w:val="0"/>
      <w:autoSpaceDN w:val="0"/>
      <w:adjustRightInd w:val="0"/>
      <w:spacing w:after="120" w:line="240" w:lineRule="auto"/>
      <w:jc w:val="left"/>
      <w:outlineLvl w:val="0"/>
    </w:pPr>
    <w:rPr>
      <w:rFonts w:cs="Times New Roman"/>
      <w:sz w:val="22"/>
      <w:szCs w:val="22"/>
    </w:rPr>
  </w:style>
  <w:style w:type="character" w:customStyle="1" w:styleId="PublicationsChar">
    <w:name w:val="Publications Char"/>
    <w:basedOn w:val="DefaultParagraphFont"/>
    <w:link w:val="Publications"/>
    <w:rsid w:val="00A07FC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67599">
      <w:bodyDiv w:val="1"/>
      <w:marLeft w:val="0"/>
      <w:marRight w:val="0"/>
      <w:marTop w:val="0"/>
      <w:marBottom w:val="0"/>
      <w:divBdr>
        <w:top w:val="none" w:sz="0" w:space="0" w:color="auto"/>
        <w:left w:val="none" w:sz="0" w:space="0" w:color="auto"/>
        <w:bottom w:val="none" w:sz="0" w:space="0" w:color="auto"/>
        <w:right w:val="none" w:sz="0" w:space="0" w:color="auto"/>
      </w:divBdr>
    </w:div>
    <w:div w:id="156089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102B-A310-4F5C-A58E-F786E6ECB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1483</Words>
  <Characters>11411</Characters>
  <Application>Microsoft Office Word</Application>
  <DocSecurity>0</DocSecurity>
  <Lines>300</Lines>
  <Paragraphs>274</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Kittelson</dc:creator>
  <cp:lastModifiedBy>Sheri Barnett</cp:lastModifiedBy>
  <cp:revision>3</cp:revision>
  <cp:lastPrinted>2023-03-13T15:54:00Z</cp:lastPrinted>
  <dcterms:created xsi:type="dcterms:W3CDTF">2023-03-13T15:53:00Z</dcterms:created>
  <dcterms:modified xsi:type="dcterms:W3CDTF">2023-03-13T15:55:00Z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GrammarlyDocumentId">
    <vt:lpwstr>c032f5a45178e6d227ecab166cfba5bcab7a9520bda0867d7c459652a28cc98c</vt:lpwstr>
  </property>
</Properties>
</file>